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A68BD" w14:textId="77777777" w:rsidR="00C212AC" w:rsidRPr="00C212AC" w:rsidRDefault="00C212AC" w:rsidP="00C212AC">
      <w:pPr>
        <w:rPr>
          <w:b/>
          <w:bCs/>
          <w:sz w:val="28"/>
          <w:szCs w:val="28"/>
        </w:rPr>
      </w:pPr>
      <w:r w:rsidRPr="00C212AC">
        <w:rPr>
          <w:b/>
          <w:bCs/>
          <w:sz w:val="28"/>
          <w:szCs w:val="28"/>
        </w:rPr>
        <w:t>Regulatory Binder:</w:t>
      </w:r>
    </w:p>
    <w:p w14:paraId="2770D9FA" w14:textId="77777777" w:rsidR="00C212AC" w:rsidRPr="00C212AC" w:rsidRDefault="00C212AC" w:rsidP="00C212AC">
      <w:pPr>
        <w:rPr>
          <w:b/>
          <w:bCs/>
          <w:sz w:val="28"/>
          <w:szCs w:val="28"/>
        </w:rPr>
      </w:pPr>
      <w:r w:rsidRPr="00C212AC">
        <w:rPr>
          <w:b/>
          <w:bCs/>
          <w:sz w:val="28"/>
          <w:szCs w:val="28"/>
        </w:rPr>
        <w:t>Instructions and Guidance</w:t>
      </w:r>
    </w:p>
    <w:p w14:paraId="2F6711F5" w14:textId="77777777" w:rsidR="00C212AC" w:rsidRDefault="00C212AC" w:rsidP="00C212AC">
      <w:pPr>
        <w:pBdr>
          <w:bottom w:val="single" w:sz="4" w:space="1" w:color="4472C4" w:themeColor="accent1"/>
        </w:pBdr>
      </w:pPr>
      <w:r>
        <w:t>Instructions</w:t>
      </w:r>
    </w:p>
    <w:p w14:paraId="5287017D" w14:textId="4482A97A" w:rsidR="00C212AC" w:rsidRDefault="00886D99" w:rsidP="00C212AC">
      <w:r>
        <w:t>A</w:t>
      </w:r>
      <w:r w:rsidR="00C212AC">
        <w:t xml:space="preserve"> Regulatory Binder </w:t>
      </w:r>
      <w:r>
        <w:t>(aka, Trial Master File (TMF), Investigator Site File (ISF)) of e</w:t>
      </w:r>
      <w:r w:rsidRPr="00886D99">
        <w:t xml:space="preserve">ssential documents </w:t>
      </w:r>
      <w:r>
        <w:t>can play</w:t>
      </w:r>
      <w:r w:rsidRPr="00886D99">
        <w:t xml:space="preserve"> an important role in evaluating the conduct of the trial and the quality of the data produced</w:t>
      </w:r>
      <w:r>
        <w:t xml:space="preserve"> in the trial</w:t>
      </w:r>
      <w:r w:rsidRPr="00886D99">
        <w:t xml:space="preserve">. </w:t>
      </w:r>
      <w:r>
        <w:t xml:space="preserve"> Maintaining a Regulatory Binder helps to </w:t>
      </w:r>
      <w:r w:rsidRPr="00886D99">
        <w:t>ensure that the trial is successfully managed with adherence to regulatory requirements.</w:t>
      </w:r>
    </w:p>
    <w:p w14:paraId="413EAA34" w14:textId="77777777" w:rsidR="001844D1" w:rsidRDefault="001844D1" w:rsidP="001844D1">
      <w:r>
        <w:t>The ICH Guideline for Good Clinical Practice Section 8 outlines the documentation considered essential and provides guidelines for organization and maintenance of records.  This guide is based on that information and will provide helpful references to federal regulations and Good Clinical Practice guidelines.</w:t>
      </w:r>
    </w:p>
    <w:p w14:paraId="48C2DEC6" w14:textId="5B34D0B8" w:rsidR="00C96CAB" w:rsidRDefault="001844D1" w:rsidP="00C212AC">
      <w:r>
        <w:t>Maintaining the essential documentation in a</w:t>
      </w:r>
      <w:r w:rsidR="006A042C">
        <w:t xml:space="preserve"> </w:t>
      </w:r>
      <w:r>
        <w:t>r</w:t>
      </w:r>
      <w:r w:rsidR="006A042C">
        <w:t xml:space="preserve">egulatory </w:t>
      </w:r>
      <w:r>
        <w:t>b</w:t>
      </w:r>
      <w:r w:rsidR="006A042C">
        <w:t>inder permits evaluation of the conduct of the clinical trial and allows the auditor or inspector to ‘reconstruct’ the trial</w:t>
      </w:r>
      <w:r w:rsidR="00BC5A81">
        <w:t>.  Incomplete documentation can lead to regulatory inspection findings</w:t>
      </w:r>
      <w:r>
        <w:t>, such as an FDA Form 483.</w:t>
      </w:r>
    </w:p>
    <w:p w14:paraId="1D513359" w14:textId="4E655333" w:rsidR="004B4601" w:rsidRPr="00C212AC" w:rsidRDefault="00C212AC" w:rsidP="00C212AC">
      <w:pPr>
        <w:rPr>
          <w:b/>
          <w:bCs/>
        </w:rPr>
      </w:pPr>
      <w:r>
        <w:rPr>
          <w:b/>
          <w:bCs/>
        </w:rPr>
        <w:t>Tips</w:t>
      </w:r>
      <w:r w:rsidRPr="00C212AC">
        <w:rPr>
          <w:b/>
          <w:bCs/>
        </w:rPr>
        <w:t xml:space="preserve"> for Using the Regulatory Binder</w:t>
      </w:r>
      <w:r>
        <w:rPr>
          <w:b/>
          <w:bCs/>
        </w:rPr>
        <w:t xml:space="preserve"> Template</w:t>
      </w:r>
    </w:p>
    <w:p w14:paraId="29FAE226" w14:textId="196223C7" w:rsidR="00C212AC" w:rsidRDefault="004B4601" w:rsidP="00797768">
      <w:pPr>
        <w:pStyle w:val="ListParagraph"/>
        <w:numPr>
          <w:ilvl w:val="0"/>
          <w:numId w:val="15"/>
        </w:numPr>
      </w:pPr>
      <w:proofErr w:type="gramStart"/>
      <w:r>
        <w:rPr>
          <w:b/>
          <w:bCs/>
        </w:rPr>
        <w:t xml:space="preserve">Be </w:t>
      </w:r>
      <w:r w:rsidRPr="004B4601">
        <w:rPr>
          <w:b/>
          <w:bCs/>
        </w:rPr>
        <w:t>Specific</w:t>
      </w:r>
      <w:proofErr w:type="gramEnd"/>
      <w:r>
        <w:t xml:space="preserve">: </w:t>
      </w:r>
      <w:r w:rsidR="00C212AC">
        <w:t>One regulatory binder per protocol.  Customize the binder based on needs of your specific protocol:</w:t>
      </w:r>
    </w:p>
    <w:p w14:paraId="1338B6AB" w14:textId="57D31C98" w:rsidR="00C212AC" w:rsidRDefault="00C212AC" w:rsidP="00797768">
      <w:pPr>
        <w:pStyle w:val="ListParagraph"/>
        <w:numPr>
          <w:ilvl w:val="1"/>
          <w:numId w:val="18"/>
        </w:numPr>
      </w:pPr>
      <w:r>
        <w:t xml:space="preserve">The Guide is a template!  You should omit sections that do not apply to your protocol.  When in doubt on what can be omitted, contact </w:t>
      </w:r>
      <w:proofErr w:type="gramStart"/>
      <w:r>
        <w:t>the HSPP</w:t>
      </w:r>
      <w:proofErr w:type="gramEnd"/>
      <w:r>
        <w:t xml:space="preserve"> for assistance.</w:t>
      </w:r>
    </w:p>
    <w:p w14:paraId="6815F9F4" w14:textId="7BAAEFEC" w:rsidR="00C212AC" w:rsidRDefault="00C212AC" w:rsidP="00797768">
      <w:pPr>
        <w:pStyle w:val="ListParagraph"/>
        <w:numPr>
          <w:ilvl w:val="1"/>
          <w:numId w:val="18"/>
        </w:numPr>
      </w:pPr>
      <w:r>
        <w:t xml:space="preserve">The order is flexible!  </w:t>
      </w:r>
      <w:r w:rsidR="00886D99">
        <w:t xml:space="preserve">The key is to ensure easy access to essential documents.  Consider putting sections up front that will be most frequently referenced, and those less often in the back.  </w:t>
      </w:r>
    </w:p>
    <w:p w14:paraId="2E22E704" w14:textId="1008AEDE" w:rsidR="00C212AC" w:rsidRDefault="00886D99" w:rsidP="00797768">
      <w:pPr>
        <w:pStyle w:val="ListParagraph"/>
        <w:numPr>
          <w:ilvl w:val="1"/>
          <w:numId w:val="18"/>
        </w:numPr>
      </w:pPr>
      <w:r>
        <w:t xml:space="preserve">Customize! Create </w:t>
      </w:r>
      <w:r w:rsidR="00C212AC">
        <w:t xml:space="preserve">additional </w:t>
      </w:r>
      <w:r>
        <w:t>sections or add other</w:t>
      </w:r>
      <w:r w:rsidR="00C212AC">
        <w:t xml:space="preserve"> documents to a section as needed.</w:t>
      </w:r>
    </w:p>
    <w:p w14:paraId="0C053D54" w14:textId="1CE3A429" w:rsidR="00C212AC" w:rsidRDefault="004B4601" w:rsidP="00797768">
      <w:pPr>
        <w:pStyle w:val="ListParagraph"/>
        <w:numPr>
          <w:ilvl w:val="0"/>
          <w:numId w:val="15"/>
        </w:numPr>
      </w:pPr>
      <w:r>
        <w:rPr>
          <w:b/>
          <w:bCs/>
        </w:rPr>
        <w:t xml:space="preserve">Be </w:t>
      </w:r>
      <w:r w:rsidRPr="004B4601">
        <w:rPr>
          <w:b/>
          <w:bCs/>
        </w:rPr>
        <w:t>Accurate</w:t>
      </w:r>
      <w:r>
        <w:t xml:space="preserve">: </w:t>
      </w:r>
      <w:r w:rsidR="00886D99">
        <w:t xml:space="preserve">Ensure the </w:t>
      </w:r>
      <w:r w:rsidR="00C212AC">
        <w:t xml:space="preserve">Regulatory Binder </w:t>
      </w:r>
      <w:r w:rsidR="00886D99">
        <w:t xml:space="preserve">is kept </w:t>
      </w:r>
      <w:r w:rsidR="00C212AC">
        <w:t xml:space="preserve">current and </w:t>
      </w:r>
      <w:proofErr w:type="gramStart"/>
      <w:r w:rsidR="00C212AC">
        <w:t>up-to-date</w:t>
      </w:r>
      <w:proofErr w:type="gramEnd"/>
      <w:r w:rsidR="00C212AC">
        <w:t>.</w:t>
      </w:r>
    </w:p>
    <w:p w14:paraId="1EEC02F0" w14:textId="670FFF65" w:rsidR="004B4601" w:rsidRDefault="004B4601" w:rsidP="00797768">
      <w:pPr>
        <w:pStyle w:val="ListParagraph"/>
        <w:numPr>
          <w:ilvl w:val="0"/>
          <w:numId w:val="15"/>
        </w:numPr>
      </w:pPr>
      <w:r>
        <w:rPr>
          <w:b/>
          <w:bCs/>
        </w:rPr>
        <w:t xml:space="preserve">Be </w:t>
      </w:r>
      <w:r w:rsidRPr="004B4601">
        <w:rPr>
          <w:b/>
          <w:bCs/>
        </w:rPr>
        <w:t>Responsible</w:t>
      </w:r>
      <w:r>
        <w:t xml:space="preserve">: </w:t>
      </w:r>
      <w:r w:rsidR="00886D99">
        <w:t xml:space="preserve">Know who is </w:t>
      </w:r>
      <w:r w:rsidR="00C212AC">
        <w:t>responsible for maintaining the binder.</w:t>
      </w:r>
      <w:r w:rsidR="00886D99">
        <w:t xml:space="preserve"> </w:t>
      </w:r>
      <w:r>
        <w:t xml:space="preserve"> </w:t>
      </w:r>
    </w:p>
    <w:p w14:paraId="5499D1D9" w14:textId="613A917B" w:rsidR="00C212AC" w:rsidRDefault="004B4601" w:rsidP="00797768">
      <w:pPr>
        <w:pStyle w:val="ListParagraph"/>
        <w:numPr>
          <w:ilvl w:val="1"/>
          <w:numId w:val="17"/>
        </w:numPr>
      </w:pPr>
      <w:r>
        <w:t>TIP</w:t>
      </w:r>
      <w:proofErr w:type="gramStart"/>
      <w:r>
        <w:t>:  Make</w:t>
      </w:r>
      <w:proofErr w:type="gramEnd"/>
      <w:r>
        <w:t xml:space="preserve"> sure t</w:t>
      </w:r>
      <w:r w:rsidR="00886D99">
        <w:t xml:space="preserve">his individual(s) </w:t>
      </w:r>
      <w:r>
        <w:t xml:space="preserve">is </w:t>
      </w:r>
      <w:r w:rsidR="00886D99">
        <w:t xml:space="preserve">listed with </w:t>
      </w:r>
      <w:r w:rsidR="00C212AC">
        <w:t xml:space="preserve">the IRB as a </w:t>
      </w:r>
      <w:r w:rsidR="00886D99">
        <w:t>Stud</w:t>
      </w:r>
      <w:r w:rsidR="00C212AC">
        <w:t>y Contact to ensure that all IRB correspondence and documents are received and can be filed in a timely manner.</w:t>
      </w:r>
    </w:p>
    <w:p w14:paraId="21CA559B" w14:textId="3D4A2D0B" w:rsidR="00C212AC" w:rsidRDefault="004B4601" w:rsidP="00797768">
      <w:pPr>
        <w:pStyle w:val="ListParagraph"/>
        <w:numPr>
          <w:ilvl w:val="0"/>
          <w:numId w:val="15"/>
        </w:numPr>
      </w:pPr>
      <w:r>
        <w:rPr>
          <w:b/>
          <w:bCs/>
        </w:rPr>
        <w:t xml:space="preserve">Keep it </w:t>
      </w:r>
      <w:r w:rsidRPr="004B4601">
        <w:rPr>
          <w:b/>
          <w:bCs/>
        </w:rPr>
        <w:t>Accessible</w:t>
      </w:r>
      <w:r>
        <w:t>:</w:t>
      </w:r>
      <w:r w:rsidR="00C212AC">
        <w:t xml:space="preserve"> </w:t>
      </w:r>
      <w:r>
        <w:t>T</w:t>
      </w:r>
      <w:r w:rsidR="00C212AC">
        <w:t>he Regulatory Binder</w:t>
      </w:r>
      <w:r>
        <w:t xml:space="preserve"> should be stored</w:t>
      </w:r>
      <w:r w:rsidR="00C212AC">
        <w:t xml:space="preserve"> in a safe and secure location, but accessible to study staff </w:t>
      </w:r>
      <w:proofErr w:type="gramStart"/>
      <w:r w:rsidR="00C212AC">
        <w:t>at all times</w:t>
      </w:r>
      <w:proofErr w:type="gramEnd"/>
      <w:r w:rsidR="00C212AC">
        <w:t>.</w:t>
      </w:r>
      <w:r>
        <w:t xml:space="preserve">  It is through the regulatory binder that the entire study could be reconstructed</w:t>
      </w:r>
      <w:r w:rsidRPr="004B4601">
        <w:t xml:space="preserve"> </w:t>
      </w:r>
      <w:r>
        <w:t>from start to finish.</w:t>
      </w:r>
    </w:p>
    <w:p w14:paraId="20637B47" w14:textId="132089CD" w:rsidR="00041A63" w:rsidRDefault="004B4601" w:rsidP="00797768">
      <w:pPr>
        <w:pStyle w:val="ListParagraph"/>
        <w:numPr>
          <w:ilvl w:val="0"/>
          <w:numId w:val="15"/>
        </w:numPr>
      </w:pPr>
      <w:r w:rsidRPr="704C838A">
        <w:rPr>
          <w:b/>
          <w:bCs/>
        </w:rPr>
        <w:t>Separate from Data</w:t>
      </w:r>
      <w:r>
        <w:t xml:space="preserve">: Research record documentation </w:t>
      </w:r>
      <w:r w:rsidR="00C212AC">
        <w:t>specific</w:t>
      </w:r>
      <w:r>
        <w:t xml:space="preserve"> to participants, such as </w:t>
      </w:r>
      <w:r w:rsidR="00C212AC">
        <w:t xml:space="preserve">signed consent forms, test results, and completed case report forms should be maintained separately </w:t>
      </w:r>
      <w:r>
        <w:t xml:space="preserve">from the regulatory binder </w:t>
      </w:r>
      <w:r w:rsidR="00C212AC">
        <w:t xml:space="preserve">in </w:t>
      </w:r>
      <w:r>
        <w:t>subject-</w:t>
      </w:r>
      <w:r w:rsidR="00C212AC">
        <w:t xml:space="preserve">specific </w:t>
      </w:r>
      <w:r>
        <w:t>files</w:t>
      </w:r>
      <w:r w:rsidR="00C212AC">
        <w:t>.</w:t>
      </w:r>
    </w:p>
    <w:p w14:paraId="72E0AD81" w14:textId="06F08B59" w:rsidR="004B4601" w:rsidRDefault="004B4601" w:rsidP="704C838A">
      <w:pPr>
        <w:pStyle w:val="ListParagraph"/>
        <w:numPr>
          <w:ilvl w:val="0"/>
          <w:numId w:val="15"/>
        </w:numPr>
      </w:pPr>
      <w:r w:rsidRPr="704C838A">
        <w:rPr>
          <w:b/>
          <w:bCs/>
        </w:rPr>
        <w:t>Contemporaneous</w:t>
      </w:r>
      <w:proofErr w:type="gramStart"/>
      <w:r>
        <w:t>:  Complete</w:t>
      </w:r>
      <w:proofErr w:type="gramEnd"/>
      <w:r>
        <w:t xml:space="preserve"> documentation on the day the activity occurred.</w:t>
      </w:r>
    </w:p>
    <w:p w14:paraId="4B29BC6D" w14:textId="37AD5A8D" w:rsidR="004B4601" w:rsidRDefault="004B4601" w:rsidP="00797768">
      <w:pPr>
        <w:pStyle w:val="ListParagraph"/>
        <w:numPr>
          <w:ilvl w:val="0"/>
          <w:numId w:val="15"/>
        </w:numPr>
      </w:pPr>
      <w:r w:rsidRPr="004B4601">
        <w:rPr>
          <w:b/>
          <w:bCs/>
        </w:rPr>
        <w:t>Complete</w:t>
      </w:r>
      <w:r>
        <w:t xml:space="preserve">: Ensure the documents / materials are </w:t>
      </w:r>
      <w:proofErr w:type="gramStart"/>
      <w:r>
        <w:t>completely filled</w:t>
      </w:r>
      <w:proofErr w:type="gramEnd"/>
      <w:r>
        <w:t xml:space="preserve"> out</w:t>
      </w:r>
      <w:r w:rsidR="00715CCE">
        <w:t>.  Don’t leave anything blank.  Fill in all spaces on CRFs unless noted to skip.  Avoid blank lines between notes which give the appearance of leaving space to backfill with information later. Draw a line to indicate the end of the page.</w:t>
      </w:r>
    </w:p>
    <w:p w14:paraId="04952066" w14:textId="77777777" w:rsidR="006F1EE4" w:rsidRDefault="006F1EE4" w:rsidP="006F1EE4">
      <w:pPr>
        <w:pStyle w:val="ListParagraph"/>
      </w:pPr>
    </w:p>
    <w:p w14:paraId="1B2E7D50" w14:textId="33589B75" w:rsidR="004B4601" w:rsidRDefault="006F1EE4" w:rsidP="704C838A">
      <w:pPr>
        <w:pStyle w:val="ListParagraph"/>
        <w:numPr>
          <w:ilvl w:val="0"/>
          <w:numId w:val="15"/>
        </w:numPr>
      </w:pPr>
      <w:r w:rsidRPr="704C838A">
        <w:rPr>
          <w:b/>
          <w:bCs/>
        </w:rPr>
        <w:lastRenderedPageBreak/>
        <w:t xml:space="preserve">Chronological: </w:t>
      </w:r>
      <w:r w:rsidR="00E73AC8">
        <w:t>For ease of reference and review, file documents in each section chronologically with the most recent on top.</w:t>
      </w:r>
    </w:p>
    <w:p w14:paraId="3ACA68B2" w14:textId="32E1D977" w:rsidR="004B4601" w:rsidRDefault="004B4601" w:rsidP="704C838A">
      <w:pPr>
        <w:pStyle w:val="ListParagraph"/>
        <w:numPr>
          <w:ilvl w:val="0"/>
          <w:numId w:val="15"/>
        </w:numPr>
      </w:pPr>
      <w:r w:rsidRPr="704C838A">
        <w:rPr>
          <w:b/>
          <w:bCs/>
        </w:rPr>
        <w:t>Clear</w:t>
      </w:r>
      <w:r>
        <w:t xml:space="preserve">: Record enough information to document the activity or data, but do not overdo it.  Visit notes should reconstruct the </w:t>
      </w:r>
      <w:proofErr w:type="gramStart"/>
      <w:r>
        <w:t>visit, but</w:t>
      </w:r>
      <w:proofErr w:type="gramEnd"/>
      <w:r>
        <w:t xml:space="preserve"> be as brief and to-the-point as possible.</w:t>
      </w:r>
    </w:p>
    <w:p w14:paraId="615FCFB1" w14:textId="75205F95" w:rsidR="00715CCE" w:rsidRDefault="004B4601" w:rsidP="704C838A">
      <w:pPr>
        <w:pStyle w:val="ListParagraph"/>
        <w:numPr>
          <w:ilvl w:val="0"/>
          <w:numId w:val="15"/>
        </w:numPr>
      </w:pPr>
      <w:r w:rsidRPr="704C838A">
        <w:rPr>
          <w:b/>
          <w:bCs/>
        </w:rPr>
        <w:t>Confidential</w:t>
      </w:r>
      <w:r>
        <w:t xml:space="preserve">: Avoid using names in the progress notes (e.g., refer to “participant”).  If you need to refer to another person, refer to them by relationship </w:t>
      </w:r>
      <w:r w:rsidR="00715CCE">
        <w:t>instead of</w:t>
      </w:r>
      <w:r>
        <w:t xml:space="preserve"> name (e.g., “participant’s </w:t>
      </w:r>
      <w:r w:rsidR="00715CCE">
        <w:t>spouse</w:t>
      </w:r>
      <w:r>
        <w:t>”)</w:t>
      </w:r>
      <w:r w:rsidR="00715CCE">
        <w:t>.</w:t>
      </w:r>
    </w:p>
    <w:p w14:paraId="19C25AF2" w14:textId="7A6A41C4" w:rsidR="00715CCE" w:rsidRDefault="00715CCE" w:rsidP="704C838A">
      <w:pPr>
        <w:pStyle w:val="ListParagraph"/>
        <w:numPr>
          <w:ilvl w:val="0"/>
          <w:numId w:val="15"/>
        </w:numPr>
      </w:pPr>
      <w:r w:rsidRPr="704C838A">
        <w:rPr>
          <w:b/>
          <w:bCs/>
        </w:rPr>
        <w:t>Corrections</w:t>
      </w:r>
      <w:r>
        <w:t xml:space="preserve">: When mistakes occur, and they will, it is important to handle them correctly and quickly to avoid any uncertainty as to data </w:t>
      </w:r>
      <w:r w:rsidR="004B4601">
        <w:t>integrity.</w:t>
      </w:r>
      <w:r>
        <w:t xml:space="preserve">  If </w:t>
      </w:r>
      <w:proofErr w:type="gramStart"/>
      <w:r>
        <w:t>unsure</w:t>
      </w:r>
      <w:proofErr w:type="gramEnd"/>
      <w:r>
        <w:t xml:space="preserve"> how to </w:t>
      </w:r>
      <w:proofErr w:type="gramStart"/>
      <w:r>
        <w:t>handle</w:t>
      </w:r>
      <w:proofErr w:type="gramEnd"/>
      <w:r>
        <w:t xml:space="preserve">, contact </w:t>
      </w:r>
      <w:proofErr w:type="gramStart"/>
      <w:r>
        <w:t>the HSPP</w:t>
      </w:r>
      <w:proofErr w:type="gramEnd"/>
      <w:r>
        <w:t xml:space="preserve">.  </w:t>
      </w:r>
    </w:p>
    <w:p w14:paraId="213AD491" w14:textId="46CBD559" w:rsidR="00715CCE" w:rsidRDefault="00715CCE" w:rsidP="00797768">
      <w:pPr>
        <w:pStyle w:val="ListParagraph"/>
        <w:numPr>
          <w:ilvl w:val="1"/>
          <w:numId w:val="16"/>
        </w:numPr>
      </w:pPr>
      <w:r w:rsidRPr="00715CCE">
        <w:rPr>
          <w:b/>
          <w:bCs/>
        </w:rPr>
        <w:t>Don’t backdate!</w:t>
      </w:r>
      <w:r>
        <w:t xml:space="preserve"> </w:t>
      </w:r>
      <w:r w:rsidR="004B4601">
        <w:t xml:space="preserve">Never put a date other than </w:t>
      </w:r>
      <w:r>
        <w:t>the current</w:t>
      </w:r>
      <w:r w:rsidR="004B4601">
        <w:t xml:space="preserve"> date on a form or</w:t>
      </w:r>
      <w:r>
        <w:t xml:space="preserve"> </w:t>
      </w:r>
      <w:r w:rsidR="004B4601">
        <w:t>note</w:t>
      </w:r>
      <w:r>
        <w:t xml:space="preserve">.  Backdating – entering a previous date, today </w:t>
      </w:r>
      <w:proofErr w:type="gramStart"/>
      <w:r>
        <w:t>-  is</w:t>
      </w:r>
      <w:proofErr w:type="gramEnd"/>
      <w:r>
        <w:t xml:space="preserve"> a form of falsification of data.  If you were unable to complete documentation yesterday that a research or treatment activity occurred, write a late note with today’s date and describe the activity and date that it occurred.  </w:t>
      </w:r>
    </w:p>
    <w:p w14:paraId="30861E0A" w14:textId="2D46C146" w:rsidR="004B4601" w:rsidRDefault="00715CCE" w:rsidP="00797768">
      <w:pPr>
        <w:pStyle w:val="ListParagraph"/>
        <w:numPr>
          <w:ilvl w:val="1"/>
          <w:numId w:val="16"/>
        </w:numPr>
      </w:pPr>
      <w:r w:rsidRPr="00715CCE">
        <w:rPr>
          <w:b/>
          <w:bCs/>
        </w:rPr>
        <w:t>Don’t obscure entries!</w:t>
      </w:r>
      <w:r>
        <w:t xml:space="preserve"> </w:t>
      </w:r>
      <w:r w:rsidR="004B4601">
        <w:t xml:space="preserve">If you make a mistake while </w:t>
      </w:r>
      <w:r>
        <w:t>recording</w:t>
      </w:r>
      <w:r w:rsidR="004B4601">
        <w:t xml:space="preserve"> something,</w:t>
      </w:r>
      <w:r>
        <w:t xml:space="preserve"> cross it out with a single line, </w:t>
      </w:r>
      <w:r w:rsidR="004B4601">
        <w:t>put</w:t>
      </w:r>
      <w:r>
        <w:t xml:space="preserve"> your </w:t>
      </w:r>
      <w:r w:rsidR="004B4601">
        <w:t>initial</w:t>
      </w:r>
      <w:r>
        <w:t>s</w:t>
      </w:r>
      <w:r w:rsidR="004B4601">
        <w:t xml:space="preserve"> and date beside that line, and then </w:t>
      </w:r>
      <w:r>
        <w:t>record</w:t>
      </w:r>
      <w:r w:rsidR="004B4601">
        <w:t xml:space="preserve"> the correct information. </w:t>
      </w:r>
      <w:r>
        <w:t>Original entries should never be</w:t>
      </w:r>
      <w:r w:rsidR="004B4601">
        <w:t xml:space="preserve"> </w:t>
      </w:r>
      <w:proofErr w:type="gramStart"/>
      <w:r w:rsidR="004B4601">
        <w:t>cover</w:t>
      </w:r>
      <w:r>
        <w:t xml:space="preserve">ed </w:t>
      </w:r>
      <w:r w:rsidR="004B4601">
        <w:t>up</w:t>
      </w:r>
      <w:proofErr w:type="gramEnd"/>
      <w:r w:rsidR="004B4601">
        <w:t xml:space="preserve"> by scribbling over the mistake, using</w:t>
      </w:r>
      <w:r w:rsidR="00A9025B">
        <w:t xml:space="preserve"> correction fluid</w:t>
      </w:r>
      <w:r w:rsidR="004B4601">
        <w:t>, or re-writing the note.</w:t>
      </w:r>
    </w:p>
    <w:p w14:paraId="68035ECA" w14:textId="6AE25A55" w:rsidR="000D0E68" w:rsidRDefault="00A9025B" w:rsidP="704C838A">
      <w:pPr>
        <w:pStyle w:val="ListParagraph"/>
        <w:numPr>
          <w:ilvl w:val="0"/>
          <w:numId w:val="15"/>
        </w:numPr>
      </w:pPr>
      <w:r w:rsidRPr="704C838A">
        <w:rPr>
          <w:b/>
          <w:bCs/>
        </w:rPr>
        <w:t>Use Ink!</w:t>
      </w:r>
      <w:r>
        <w:t xml:space="preserve"> </w:t>
      </w:r>
      <w:r w:rsidRPr="704C838A">
        <w:rPr>
          <w:b/>
          <w:bCs/>
        </w:rPr>
        <w:t xml:space="preserve"> </w:t>
      </w:r>
      <w:r>
        <w:t>Pencils and erasers do not belong on research records.  Entries should be made in ink to ensure the data is legible and lasting.</w:t>
      </w:r>
    </w:p>
    <w:p w14:paraId="4158E192" w14:textId="74A08E95" w:rsidR="000D0E68" w:rsidRDefault="000D0E68" w:rsidP="00797768">
      <w:pPr>
        <w:pStyle w:val="ListParagraph"/>
        <w:numPr>
          <w:ilvl w:val="0"/>
          <w:numId w:val="15"/>
        </w:numPr>
      </w:pPr>
      <w:r>
        <w:rPr>
          <w:b/>
          <w:bCs/>
        </w:rPr>
        <w:t xml:space="preserve">Be inspection ready!  </w:t>
      </w:r>
      <w:r w:rsidR="0092315B">
        <w:t xml:space="preserve">Maintaining complete and compliant documentation will help </w:t>
      </w:r>
      <w:r w:rsidR="004B3CF7">
        <w:t>ensure your site is</w:t>
      </w:r>
      <w:r w:rsidR="0092315B">
        <w:t xml:space="preserve"> ready for inspection</w:t>
      </w:r>
      <w:r w:rsidR="004B3CF7">
        <w:t xml:space="preserve"> by regulatory agencies.  </w:t>
      </w:r>
    </w:p>
    <w:p w14:paraId="59870F22" w14:textId="77777777" w:rsidR="00A76CF2" w:rsidRDefault="00A76CF2" w:rsidP="005930E3">
      <w:pPr>
        <w:pStyle w:val="ListParagraph"/>
      </w:pPr>
    </w:p>
    <w:p w14:paraId="048B285E" w14:textId="2C57E60E" w:rsidR="001233DD" w:rsidRDefault="00A76CF2" w:rsidP="008F1A2C">
      <w:pPr>
        <w:pStyle w:val="ListParagraph"/>
        <w:numPr>
          <w:ilvl w:val="0"/>
          <w:numId w:val="15"/>
        </w:numPr>
      </w:pPr>
      <w:r>
        <w:t xml:space="preserve">When documentation is </w:t>
      </w:r>
      <w:r w:rsidRPr="008F1A2C">
        <w:rPr>
          <w:b/>
          <w:bCs/>
        </w:rPr>
        <w:t>electronically maintained</w:t>
      </w:r>
      <w:r>
        <w:t>, write a note-</w:t>
      </w:r>
      <w:proofErr w:type="gramStart"/>
      <w:r>
        <w:t>to file</w:t>
      </w:r>
      <w:proofErr w:type="gramEnd"/>
      <w:r>
        <w:t xml:space="preserve"> indicating the location and who maintains </w:t>
      </w:r>
      <w:proofErr w:type="gramStart"/>
      <w:r>
        <w:t>them</w:t>
      </w:r>
      <w:proofErr w:type="gramEnd"/>
      <w:r>
        <w:t xml:space="preserve"> (include a copy of the note-to-file behind this tab).</w:t>
      </w:r>
    </w:p>
    <w:p w14:paraId="3E57EEFB" w14:textId="758E8EDE" w:rsidR="001233DD" w:rsidRDefault="001233DD" w:rsidP="008F1A2C">
      <w:pPr>
        <w:pStyle w:val="ListParagraph"/>
        <w:numPr>
          <w:ilvl w:val="0"/>
          <w:numId w:val="15"/>
        </w:numPr>
      </w:pPr>
      <w:r>
        <w:t xml:space="preserve">When </w:t>
      </w:r>
      <w:r w:rsidR="008F1A2C">
        <w:t xml:space="preserve">maintaining an </w:t>
      </w:r>
      <w:r w:rsidR="008F1A2C" w:rsidRPr="008F1A2C">
        <w:rPr>
          <w:b/>
          <w:bCs/>
        </w:rPr>
        <w:t>electronic regulatory binder</w:t>
      </w:r>
      <w:r w:rsidR="008F1A2C">
        <w:t xml:space="preserve">, the electronic binder should follow the same outline as this template. </w:t>
      </w:r>
    </w:p>
    <w:p w14:paraId="29823DD7" w14:textId="77777777" w:rsidR="001233DD" w:rsidRDefault="001233DD" w:rsidP="008F1A2C">
      <w:pPr>
        <w:pStyle w:val="ListParagraph"/>
      </w:pPr>
    </w:p>
    <w:p w14:paraId="0815D941" w14:textId="77777777" w:rsidR="00A76CF2" w:rsidRDefault="00A76CF2" w:rsidP="005930E3">
      <w:pPr>
        <w:pStyle w:val="ListParagraph"/>
      </w:pPr>
    </w:p>
    <w:p w14:paraId="175FA9B5" w14:textId="77777777" w:rsidR="000D0E68" w:rsidRDefault="000D0E68" w:rsidP="000D0E68"/>
    <w:p w14:paraId="3E97604D" w14:textId="30134081" w:rsidR="00A9025B" w:rsidRDefault="00A9025B">
      <w:r>
        <w:br w:type="page"/>
      </w:r>
    </w:p>
    <w:p w14:paraId="7E15BEB0" w14:textId="77777777" w:rsidR="00A9025B" w:rsidRPr="00A9025B" w:rsidRDefault="00A9025B" w:rsidP="00A9025B">
      <w:pPr>
        <w:pBdr>
          <w:bottom w:val="single" w:sz="4" w:space="1" w:color="4472C4" w:themeColor="accent1"/>
        </w:pBdr>
        <w:rPr>
          <w:sz w:val="40"/>
          <w:szCs w:val="40"/>
        </w:rPr>
      </w:pPr>
      <w:r w:rsidRPr="00A9025B">
        <w:rPr>
          <w:sz w:val="40"/>
          <w:szCs w:val="40"/>
        </w:rPr>
        <w:lastRenderedPageBreak/>
        <w:t>Protocol</w:t>
      </w:r>
    </w:p>
    <w:p w14:paraId="23415881" w14:textId="77777777" w:rsidR="00A9025B" w:rsidRPr="00A9025B" w:rsidRDefault="00A9025B" w:rsidP="00A9025B">
      <w:pPr>
        <w:rPr>
          <w:u w:val="single"/>
        </w:rPr>
      </w:pPr>
      <w:r w:rsidRPr="00A9025B">
        <w:rPr>
          <w:u w:val="single"/>
        </w:rPr>
        <w:t>Requirements</w:t>
      </w:r>
    </w:p>
    <w:p w14:paraId="79A19DC7" w14:textId="77777777" w:rsidR="00A9025B" w:rsidRDefault="00A9025B" w:rsidP="00A9025B">
      <w:pPr>
        <w:pStyle w:val="ListParagraph"/>
        <w:numPr>
          <w:ilvl w:val="0"/>
          <w:numId w:val="2"/>
        </w:numPr>
      </w:pPr>
      <w:r>
        <w:t>Current IRB–approved Research Protocol</w:t>
      </w:r>
    </w:p>
    <w:p w14:paraId="1CED1C5D" w14:textId="180CBF21" w:rsidR="00A9025B" w:rsidRDefault="00A9025B" w:rsidP="00A9025B">
      <w:pPr>
        <w:pStyle w:val="ListParagraph"/>
        <w:numPr>
          <w:ilvl w:val="0"/>
          <w:numId w:val="2"/>
        </w:numPr>
      </w:pPr>
      <w:r>
        <w:t>All previously IRB-approved versions (reverse chronological order, with oldest last)</w:t>
      </w:r>
    </w:p>
    <w:p w14:paraId="4F65EAE9" w14:textId="47A4BF20" w:rsidR="00A9025B" w:rsidRDefault="00A9025B" w:rsidP="00A9025B">
      <w:pPr>
        <w:pStyle w:val="ListParagraph"/>
        <w:numPr>
          <w:ilvl w:val="0"/>
          <w:numId w:val="2"/>
        </w:numPr>
      </w:pPr>
      <w:r>
        <w:t>Each version should contain a version date and/or number</w:t>
      </w:r>
    </w:p>
    <w:p w14:paraId="13F1BF4B" w14:textId="3C0D00F9" w:rsidR="00A9025B" w:rsidRPr="00A9025B" w:rsidRDefault="00A9025B" w:rsidP="00A9025B">
      <w:pPr>
        <w:rPr>
          <w:u w:val="single"/>
        </w:rPr>
      </w:pPr>
      <w:r w:rsidRPr="00A9025B">
        <w:rPr>
          <w:u w:val="single"/>
        </w:rPr>
        <w:t>Tips</w:t>
      </w:r>
    </w:p>
    <w:p w14:paraId="359814CB" w14:textId="77777777" w:rsidR="00A9025B" w:rsidRDefault="00A9025B" w:rsidP="00797768">
      <w:pPr>
        <w:pStyle w:val="ListParagraph"/>
        <w:numPr>
          <w:ilvl w:val="0"/>
          <w:numId w:val="14"/>
        </w:numPr>
      </w:pPr>
      <w:r>
        <w:t>Using IRIS as the storage location is not recommended, as computer networks can be unpredictable and unavailable to access or for inspection.</w:t>
      </w:r>
    </w:p>
    <w:p w14:paraId="678A93CA" w14:textId="77777777" w:rsidR="00A9025B" w:rsidRDefault="00A9025B" w:rsidP="00A9025B"/>
    <w:p w14:paraId="28FB7B61" w14:textId="77777777" w:rsidR="00A9025B" w:rsidRDefault="00A9025B" w:rsidP="00A9025B"/>
    <w:p w14:paraId="1E3FBA3D" w14:textId="77777777" w:rsidR="00A9025B" w:rsidRDefault="00A9025B" w:rsidP="00A9025B"/>
    <w:p w14:paraId="60C27A82" w14:textId="5D497E99" w:rsidR="00A9025B" w:rsidRDefault="00A9025B" w:rsidP="00A9025B">
      <w:pPr>
        <w:pBdr>
          <w:bottom w:val="single" w:sz="4" w:space="1" w:color="4472C4" w:themeColor="accent1"/>
        </w:pBdr>
      </w:pPr>
      <w:r>
        <w:t>Federal Regulations/Good Clinical Practice</w:t>
      </w:r>
    </w:p>
    <w:p w14:paraId="6D9E62B6" w14:textId="1FE2AEC9" w:rsidR="004B4601" w:rsidRDefault="00A9025B" w:rsidP="00A9025B">
      <w:r>
        <w:t>GCP: 8.2.2; 8.3.2</w:t>
      </w:r>
    </w:p>
    <w:p w14:paraId="424264EC" w14:textId="77777777" w:rsidR="00A9025B" w:rsidRDefault="00A9025B" w:rsidP="00A9025B"/>
    <w:p w14:paraId="48E52229" w14:textId="195C66D3" w:rsidR="00A9025B" w:rsidRDefault="00A9025B">
      <w:r>
        <w:br w:type="page"/>
      </w:r>
    </w:p>
    <w:p w14:paraId="5333A464" w14:textId="434047F5" w:rsidR="00A9025B" w:rsidRPr="00A9025B" w:rsidRDefault="00A9025B" w:rsidP="00A9025B">
      <w:pPr>
        <w:pBdr>
          <w:bottom w:val="single" w:sz="4" w:space="1" w:color="4472C4" w:themeColor="accent1"/>
        </w:pBdr>
        <w:rPr>
          <w:sz w:val="40"/>
          <w:szCs w:val="40"/>
        </w:rPr>
      </w:pPr>
      <w:r>
        <w:rPr>
          <w:sz w:val="40"/>
          <w:szCs w:val="40"/>
        </w:rPr>
        <w:lastRenderedPageBreak/>
        <w:t xml:space="preserve">CVs </w:t>
      </w:r>
    </w:p>
    <w:p w14:paraId="7F367674" w14:textId="77777777" w:rsidR="00A9025B" w:rsidRPr="00A9025B" w:rsidRDefault="00A9025B" w:rsidP="00A9025B">
      <w:pPr>
        <w:rPr>
          <w:u w:val="single"/>
        </w:rPr>
      </w:pPr>
      <w:r w:rsidRPr="00A9025B">
        <w:rPr>
          <w:u w:val="single"/>
        </w:rPr>
        <w:t>Requirements</w:t>
      </w:r>
    </w:p>
    <w:p w14:paraId="676B3015" w14:textId="7C296862" w:rsidR="00A9025B" w:rsidRDefault="00A9025B" w:rsidP="00A9025B">
      <w:pPr>
        <w:pStyle w:val="ListParagraph"/>
        <w:numPr>
          <w:ilvl w:val="0"/>
          <w:numId w:val="2"/>
        </w:numPr>
      </w:pPr>
      <w:r>
        <w:t>CVs for all study staff</w:t>
      </w:r>
    </w:p>
    <w:p w14:paraId="345FA41A" w14:textId="01B62016" w:rsidR="00A9025B" w:rsidRDefault="00A9025B" w:rsidP="00A9025B">
      <w:pPr>
        <w:pStyle w:val="ListParagraph"/>
        <w:numPr>
          <w:ilvl w:val="1"/>
          <w:numId w:val="2"/>
        </w:numPr>
      </w:pPr>
      <w:r>
        <w:t>PI</w:t>
      </w:r>
    </w:p>
    <w:p w14:paraId="7D6A7023" w14:textId="09F97DFD" w:rsidR="00A9025B" w:rsidRDefault="00A9025B" w:rsidP="00A9025B">
      <w:pPr>
        <w:pStyle w:val="ListParagraph"/>
        <w:numPr>
          <w:ilvl w:val="1"/>
          <w:numId w:val="2"/>
        </w:numPr>
      </w:pPr>
      <w:r>
        <w:t>Key Personnel (in IRIS)</w:t>
      </w:r>
    </w:p>
    <w:p w14:paraId="4A5D459A" w14:textId="0A77B387" w:rsidR="00A9025B" w:rsidRDefault="00A9025B" w:rsidP="00A9025B">
      <w:pPr>
        <w:pStyle w:val="ListParagraph"/>
        <w:numPr>
          <w:ilvl w:val="1"/>
          <w:numId w:val="2"/>
        </w:numPr>
      </w:pPr>
      <w:r>
        <w:t xml:space="preserve">Other staff </w:t>
      </w:r>
      <w:proofErr w:type="gramStart"/>
      <w:r>
        <w:t>performing</w:t>
      </w:r>
      <w:proofErr w:type="gramEnd"/>
      <w:r>
        <w:t xml:space="preserve"> significant protocol-related duties</w:t>
      </w:r>
    </w:p>
    <w:p w14:paraId="56AE114A" w14:textId="77777777" w:rsidR="00EC64B2" w:rsidRDefault="00EC64B2" w:rsidP="00A9025B">
      <w:pPr>
        <w:rPr>
          <w:u w:val="single"/>
        </w:rPr>
      </w:pPr>
    </w:p>
    <w:p w14:paraId="5EEF1519" w14:textId="64F2EE55" w:rsidR="00A9025B" w:rsidRPr="00A9025B" w:rsidRDefault="00A9025B" w:rsidP="00A9025B">
      <w:pPr>
        <w:rPr>
          <w:u w:val="single"/>
        </w:rPr>
      </w:pPr>
      <w:r w:rsidRPr="00A9025B">
        <w:rPr>
          <w:u w:val="single"/>
        </w:rPr>
        <w:t>Tips</w:t>
      </w:r>
    </w:p>
    <w:p w14:paraId="15094FF4" w14:textId="4ADAB7C3" w:rsidR="00A9025B" w:rsidRDefault="00A9025B" w:rsidP="00797768">
      <w:pPr>
        <w:pStyle w:val="ListParagraph"/>
        <w:numPr>
          <w:ilvl w:val="0"/>
          <w:numId w:val="13"/>
        </w:numPr>
      </w:pPr>
      <w:r>
        <w:t xml:space="preserve">A </w:t>
      </w:r>
      <w:proofErr w:type="spellStart"/>
      <w:r>
        <w:t>biosketch</w:t>
      </w:r>
      <w:proofErr w:type="spellEnd"/>
      <w:r>
        <w:t xml:space="preserve">, resume or other similar documentation may be used to verify qualifications and expertise of study staff designated to perform </w:t>
      </w:r>
      <w:r w:rsidR="00F11328">
        <w:t>delegated duties</w:t>
      </w:r>
    </w:p>
    <w:p w14:paraId="2D7E267D" w14:textId="508DA2F6" w:rsidR="00073982" w:rsidRDefault="00073982" w:rsidP="00797768">
      <w:pPr>
        <w:pStyle w:val="ListParagraph"/>
        <w:numPr>
          <w:ilvl w:val="0"/>
          <w:numId w:val="13"/>
        </w:numPr>
      </w:pPr>
      <w:r>
        <w:t xml:space="preserve">Must contain name, education, qualification, current position, </w:t>
      </w:r>
      <w:r w:rsidR="002330BB">
        <w:t>affiliation</w:t>
      </w:r>
      <w:r>
        <w:t xml:space="preserve"> and work experience</w:t>
      </w:r>
      <w:r w:rsidR="002330BB">
        <w:t>.</w:t>
      </w:r>
    </w:p>
    <w:p w14:paraId="013D8EE3" w14:textId="68F24841" w:rsidR="00F11328" w:rsidRDefault="00F11328" w:rsidP="00797768">
      <w:pPr>
        <w:pStyle w:val="ListParagraph"/>
        <w:numPr>
          <w:ilvl w:val="0"/>
          <w:numId w:val="13"/>
        </w:numPr>
      </w:pPr>
      <w:r>
        <w:t xml:space="preserve">CVs should be </w:t>
      </w:r>
      <w:proofErr w:type="gramStart"/>
      <w:r>
        <w:t>signed</w:t>
      </w:r>
      <w:proofErr w:type="gramEnd"/>
      <w:r>
        <w:t xml:space="preserve"> and dated and updated every 2 years to verify the information is accurate and current</w:t>
      </w:r>
    </w:p>
    <w:p w14:paraId="214CFE63" w14:textId="4C7AD5AE" w:rsidR="00A9025B" w:rsidRDefault="00F11328" w:rsidP="00797768">
      <w:pPr>
        <w:pStyle w:val="ListParagraph"/>
        <w:numPr>
          <w:ilvl w:val="0"/>
          <w:numId w:val="13"/>
        </w:numPr>
      </w:pPr>
      <w:r>
        <w:t>If CVs are maintained in a central location for the Department, write a signed and dated note-to-file indicating the location and include a copy of the note-to-file behind this tab.</w:t>
      </w:r>
    </w:p>
    <w:p w14:paraId="76996EAE" w14:textId="42E984F4" w:rsidR="00F11328" w:rsidRDefault="00F11328" w:rsidP="00797768">
      <w:pPr>
        <w:pStyle w:val="ListParagraph"/>
        <w:numPr>
          <w:ilvl w:val="0"/>
          <w:numId w:val="13"/>
        </w:numPr>
      </w:pPr>
      <w:r>
        <w:t xml:space="preserve">If CVs are maintained electronically, write a signed and dated note-to-file indicating the location and who maintains them </w:t>
      </w:r>
      <w:proofErr w:type="gramStart"/>
      <w:r>
        <w:t>include</w:t>
      </w:r>
      <w:proofErr w:type="gramEnd"/>
      <w:r>
        <w:t xml:space="preserve"> a copy of the note-to-file behind this tab.</w:t>
      </w:r>
    </w:p>
    <w:p w14:paraId="65248520" w14:textId="77777777" w:rsidR="00F11328" w:rsidRDefault="00F11328" w:rsidP="00F11328">
      <w:pPr>
        <w:pStyle w:val="ListParagraph"/>
      </w:pPr>
    </w:p>
    <w:p w14:paraId="21C7DF07" w14:textId="77777777" w:rsidR="00A9025B" w:rsidRDefault="00A9025B" w:rsidP="00A9025B"/>
    <w:p w14:paraId="0BC3D8D4" w14:textId="77777777" w:rsidR="00A9025B" w:rsidRDefault="00A9025B" w:rsidP="00A9025B"/>
    <w:p w14:paraId="7361E2DA" w14:textId="77777777" w:rsidR="00A9025B" w:rsidRDefault="00A9025B" w:rsidP="00A9025B"/>
    <w:p w14:paraId="0D48BAFC" w14:textId="77777777" w:rsidR="00A9025B" w:rsidRDefault="00A9025B" w:rsidP="00A9025B">
      <w:pPr>
        <w:pBdr>
          <w:bottom w:val="single" w:sz="4" w:space="1" w:color="4472C4" w:themeColor="accent1"/>
        </w:pBdr>
      </w:pPr>
      <w:r>
        <w:t>Federal Regulations/Good Clinical Practice</w:t>
      </w:r>
    </w:p>
    <w:p w14:paraId="08E15DA9" w14:textId="01D363BF" w:rsidR="00A9025B" w:rsidRDefault="00F11328" w:rsidP="00A9025B">
      <w:r>
        <w:t>GCP: 4.1.1; 8.2.10; 8.3.5</w:t>
      </w:r>
    </w:p>
    <w:p w14:paraId="4987305C" w14:textId="77777777" w:rsidR="00F11328" w:rsidRDefault="00F11328" w:rsidP="00A9025B"/>
    <w:p w14:paraId="414E65BA" w14:textId="77A173C6" w:rsidR="00F11328" w:rsidRDefault="00F11328">
      <w:r>
        <w:br w:type="page"/>
      </w:r>
    </w:p>
    <w:p w14:paraId="38D952B9" w14:textId="24B6AD45" w:rsidR="00F11328" w:rsidRPr="00A9025B" w:rsidRDefault="00F11328" w:rsidP="00F11328">
      <w:pPr>
        <w:pBdr>
          <w:bottom w:val="single" w:sz="4" w:space="1" w:color="4472C4" w:themeColor="accent1"/>
        </w:pBdr>
        <w:rPr>
          <w:sz w:val="40"/>
          <w:szCs w:val="40"/>
        </w:rPr>
      </w:pPr>
      <w:r>
        <w:rPr>
          <w:sz w:val="40"/>
          <w:szCs w:val="40"/>
        </w:rPr>
        <w:lastRenderedPageBreak/>
        <w:t>Training</w:t>
      </w:r>
    </w:p>
    <w:p w14:paraId="044760DF" w14:textId="77777777" w:rsidR="00F11328" w:rsidRPr="00A9025B" w:rsidRDefault="00F11328" w:rsidP="00F11328">
      <w:pPr>
        <w:rPr>
          <w:u w:val="single"/>
        </w:rPr>
      </w:pPr>
      <w:r w:rsidRPr="00A9025B">
        <w:rPr>
          <w:u w:val="single"/>
        </w:rPr>
        <w:t>Requirements</w:t>
      </w:r>
    </w:p>
    <w:p w14:paraId="724948D7" w14:textId="5A1999C0" w:rsidR="00F11328" w:rsidRDefault="00F11328" w:rsidP="00F11328">
      <w:pPr>
        <w:pStyle w:val="ListParagraph"/>
        <w:numPr>
          <w:ilvl w:val="0"/>
          <w:numId w:val="2"/>
        </w:numPr>
      </w:pPr>
      <w:r>
        <w:t>Human Subjects Training certification for all personnel required to complete human subjects training (current within 3 years)</w:t>
      </w:r>
    </w:p>
    <w:p w14:paraId="06AC1F19" w14:textId="380F2580" w:rsidR="00F11328" w:rsidRDefault="00F11328" w:rsidP="00F11328">
      <w:pPr>
        <w:pStyle w:val="ListParagraph"/>
        <w:numPr>
          <w:ilvl w:val="0"/>
          <w:numId w:val="2"/>
        </w:numPr>
      </w:pPr>
      <w:r>
        <w:t>Good Clinical Practice (GCP) Training certification as required for NIH-funded Clinical Trials</w:t>
      </w:r>
    </w:p>
    <w:p w14:paraId="03305B25" w14:textId="2E1CA210" w:rsidR="00F11328" w:rsidRDefault="00F11328" w:rsidP="00F11328">
      <w:pPr>
        <w:pStyle w:val="ListParagraph"/>
        <w:numPr>
          <w:ilvl w:val="0"/>
          <w:numId w:val="2"/>
        </w:numPr>
      </w:pPr>
      <w:r>
        <w:t>Responsible Conduct of Research Training certification as required for NIH training grants or National Science Foundation funded research</w:t>
      </w:r>
    </w:p>
    <w:p w14:paraId="7B6CB0C2" w14:textId="3A346313" w:rsidR="00F11328" w:rsidRDefault="00F11328" w:rsidP="00F11328">
      <w:pPr>
        <w:pStyle w:val="ListParagraph"/>
        <w:numPr>
          <w:ilvl w:val="0"/>
          <w:numId w:val="2"/>
        </w:numPr>
      </w:pPr>
      <w:r>
        <w:t>Additional training certification for study staff, e.g. phlebotomy, vital signs, etc.</w:t>
      </w:r>
    </w:p>
    <w:p w14:paraId="01FD4A23" w14:textId="5201C500" w:rsidR="00F11328" w:rsidRDefault="00F11328" w:rsidP="00F11328">
      <w:pPr>
        <w:pStyle w:val="ListParagraph"/>
        <w:numPr>
          <w:ilvl w:val="0"/>
          <w:numId w:val="2"/>
        </w:numPr>
      </w:pPr>
      <w:r>
        <w:t>Any study-specific training documentation for point-of-care testing (pregnancy testing) or study specific instruments or scales.</w:t>
      </w:r>
    </w:p>
    <w:p w14:paraId="007C628F" w14:textId="77777777" w:rsidR="00F11328" w:rsidRPr="00A9025B" w:rsidRDefault="00F11328" w:rsidP="00F11328">
      <w:pPr>
        <w:rPr>
          <w:u w:val="single"/>
        </w:rPr>
      </w:pPr>
      <w:r w:rsidRPr="00A9025B">
        <w:rPr>
          <w:u w:val="single"/>
        </w:rPr>
        <w:t>Tips</w:t>
      </w:r>
    </w:p>
    <w:p w14:paraId="33FEA7CD" w14:textId="77777777" w:rsidR="00A2137F" w:rsidRDefault="00825FC2" w:rsidP="00797768">
      <w:pPr>
        <w:pStyle w:val="ListParagraph"/>
        <w:numPr>
          <w:ilvl w:val="0"/>
          <w:numId w:val="12"/>
        </w:numPr>
      </w:pPr>
      <w:r>
        <w:t xml:space="preserve">Maintain </w:t>
      </w:r>
      <w:proofErr w:type="gramStart"/>
      <w:r>
        <w:t>a log of</w:t>
      </w:r>
      <w:proofErr w:type="gramEnd"/>
      <w:r>
        <w:t xml:space="preserve"> training</w:t>
      </w:r>
      <w:r w:rsidR="00551A1A">
        <w:t xml:space="preserve"> for study staff which includes study materials, eCRFs, GCP</w:t>
      </w:r>
      <w:proofErr w:type="gramStart"/>
      <w:r w:rsidR="00551A1A">
        <w:t>, amendments</w:t>
      </w:r>
      <w:proofErr w:type="gramEnd"/>
      <w:r w:rsidR="00A2137F">
        <w:t xml:space="preserve">. </w:t>
      </w:r>
    </w:p>
    <w:p w14:paraId="1C89E571" w14:textId="77777777" w:rsidR="00896E5F" w:rsidRDefault="00A2137F" w:rsidP="00797768">
      <w:pPr>
        <w:pStyle w:val="ListParagraph"/>
        <w:numPr>
          <w:ilvl w:val="0"/>
          <w:numId w:val="12"/>
        </w:numPr>
      </w:pPr>
      <w:r>
        <w:t xml:space="preserve">If a protocol amendment is issued and approved, study staff are expected to have completed training on the changes prior to implementing the </w:t>
      </w:r>
      <w:r w:rsidR="00896E5F">
        <w:t xml:space="preserve">amendment. </w:t>
      </w:r>
    </w:p>
    <w:p w14:paraId="723FD730" w14:textId="5D262C9A" w:rsidR="00F11328" w:rsidRDefault="00F11328" w:rsidP="00797768">
      <w:pPr>
        <w:pStyle w:val="ListParagraph"/>
        <w:numPr>
          <w:ilvl w:val="0"/>
          <w:numId w:val="12"/>
        </w:numPr>
      </w:pPr>
      <w:r>
        <w:t xml:space="preserve">If documents are maintained electronically, write a signed and dated note-to-file indicating the location and </w:t>
      </w:r>
      <w:proofErr w:type="gramStart"/>
      <w:r>
        <w:t>who</w:t>
      </w:r>
      <w:proofErr w:type="gramEnd"/>
      <w:r>
        <w:t xml:space="preserve"> maintains them </w:t>
      </w:r>
      <w:proofErr w:type="gramStart"/>
      <w:r>
        <w:t>include</w:t>
      </w:r>
      <w:proofErr w:type="gramEnd"/>
      <w:r>
        <w:t xml:space="preserve"> a copy of the note-to-file behind this tab.</w:t>
      </w:r>
    </w:p>
    <w:p w14:paraId="3EDDC491" w14:textId="6B143A7B" w:rsidR="00F11328" w:rsidRDefault="00F11328" w:rsidP="00797768">
      <w:pPr>
        <w:pStyle w:val="ListParagraph"/>
        <w:numPr>
          <w:ilvl w:val="0"/>
          <w:numId w:val="12"/>
        </w:numPr>
      </w:pPr>
      <w:r>
        <w:t xml:space="preserve">Any PI, Co-Investigator or study staff working directly with participants and/or identifiable data must fulfill human </w:t>
      </w:r>
      <w:proofErr w:type="gramStart"/>
      <w:r>
        <w:t>subjects</w:t>
      </w:r>
      <w:proofErr w:type="gramEnd"/>
      <w:r>
        <w:t xml:space="preserve"> research training requirements every (3) years.</w:t>
      </w:r>
    </w:p>
    <w:p w14:paraId="5CCAC67E" w14:textId="3CD78780" w:rsidR="00F11328" w:rsidRDefault="00F11328" w:rsidP="00797768">
      <w:pPr>
        <w:pStyle w:val="ListParagraph"/>
        <w:numPr>
          <w:ilvl w:val="0"/>
          <w:numId w:val="12"/>
        </w:numPr>
      </w:pPr>
      <w:r w:rsidRPr="00F11328">
        <w:rPr>
          <w:b/>
          <w:bCs/>
        </w:rPr>
        <w:t>Studies with Reliance</w:t>
      </w:r>
      <w:r>
        <w:t>: Any study staff covered by an IRB other than UConn Health must fulfill the human subjects training requirements of that IRB.  The PI should maintain that certification with all other human subjects training certifications.</w:t>
      </w:r>
    </w:p>
    <w:p w14:paraId="6A2DB094" w14:textId="7457843D" w:rsidR="00F11328" w:rsidRDefault="00F11328" w:rsidP="00797768">
      <w:pPr>
        <w:pStyle w:val="ListParagraph"/>
        <w:numPr>
          <w:ilvl w:val="0"/>
          <w:numId w:val="12"/>
        </w:numPr>
      </w:pPr>
      <w:r>
        <w:t xml:space="preserve">The </w:t>
      </w:r>
      <w:r w:rsidR="000E103D">
        <w:t xml:space="preserve">Collaborative Institutional Training Initiative (CITI) Program is UConn Health’s online human research training curriculum and can be accessed at </w:t>
      </w:r>
      <w:hyperlink r:id="rId10" w:history="1">
        <w:r w:rsidR="000E103D" w:rsidRPr="00455327">
          <w:rPr>
            <w:rStyle w:val="Hyperlink"/>
          </w:rPr>
          <w:t>www.citiprogram.org</w:t>
        </w:r>
      </w:hyperlink>
      <w:r w:rsidR="000E103D">
        <w:t>.</w:t>
      </w:r>
    </w:p>
    <w:p w14:paraId="71885363" w14:textId="4B783E83" w:rsidR="000E103D" w:rsidRDefault="000E103D" w:rsidP="00797768">
      <w:pPr>
        <w:pStyle w:val="ListParagraph"/>
        <w:numPr>
          <w:ilvl w:val="0"/>
          <w:numId w:val="12"/>
        </w:numPr>
      </w:pPr>
      <w:r>
        <w:t>Anyone (regardless of role) working on a project determined to be “Not Human Subjects Research” is not required to complete human subjects training</w:t>
      </w:r>
      <w:r w:rsidR="00A2137F">
        <w:t>.</w:t>
      </w:r>
    </w:p>
    <w:p w14:paraId="169F19FA" w14:textId="77777777" w:rsidR="00F11328" w:rsidRDefault="00F11328" w:rsidP="00F11328">
      <w:pPr>
        <w:pStyle w:val="ListParagraph"/>
      </w:pPr>
    </w:p>
    <w:p w14:paraId="70B456AC" w14:textId="77777777" w:rsidR="00F11328" w:rsidRDefault="00F11328" w:rsidP="00F11328"/>
    <w:p w14:paraId="1BD15717" w14:textId="77777777" w:rsidR="00F11328" w:rsidRDefault="00F11328" w:rsidP="00F11328">
      <w:pPr>
        <w:pBdr>
          <w:bottom w:val="single" w:sz="4" w:space="1" w:color="4472C4" w:themeColor="accent1"/>
        </w:pBdr>
      </w:pPr>
      <w:r>
        <w:t>Federal Regulations/Good Clinical Practice</w:t>
      </w:r>
    </w:p>
    <w:p w14:paraId="08BCD7C6" w14:textId="77777777" w:rsidR="000E103D" w:rsidRDefault="000E103D" w:rsidP="00A9025B">
      <w:r>
        <w:t xml:space="preserve">GCP: 8.2.10; 4.1.1 </w:t>
      </w:r>
    </w:p>
    <w:p w14:paraId="4EB28533" w14:textId="77777777" w:rsidR="000E103D" w:rsidRDefault="000E103D" w:rsidP="00A9025B">
      <w:r>
        <w:t xml:space="preserve">NIH Clinical Trials (GCP Training): </w:t>
      </w:r>
    </w:p>
    <w:p w14:paraId="72DD01FC" w14:textId="5E424129" w:rsidR="000E103D" w:rsidRDefault="000E103D" w:rsidP="00A9025B">
      <w:hyperlink r:id="rId11" w:history="1">
        <w:r w:rsidRPr="00455327">
          <w:rPr>
            <w:rStyle w:val="Hyperlink"/>
          </w:rPr>
          <w:t>https://support.citiprogram.org/customer/en/portal/articles/2578484-nih-new-policy-on-gcptraining</w:t>
        </w:r>
      </w:hyperlink>
      <w:r>
        <w:t xml:space="preserve"> </w:t>
      </w:r>
    </w:p>
    <w:p w14:paraId="22A6985B" w14:textId="77777777" w:rsidR="000E103D" w:rsidRDefault="000E103D" w:rsidP="00A9025B">
      <w:r>
        <w:t xml:space="preserve">NIH and NSF RCR Requirements: </w:t>
      </w:r>
    </w:p>
    <w:p w14:paraId="5BC27042" w14:textId="75A8BAA6" w:rsidR="000E103D" w:rsidRDefault="000E103D" w:rsidP="00A9025B">
      <w:hyperlink r:id="rId12" w:history="1">
        <w:r w:rsidRPr="00455327">
          <w:rPr>
            <w:rStyle w:val="Hyperlink"/>
          </w:rPr>
          <w:t>https://grants.nih.gov/grants/guide/notice-files/NOT-OD-10-019.html</w:t>
        </w:r>
      </w:hyperlink>
      <w:r>
        <w:t xml:space="preserve"> </w:t>
      </w:r>
    </w:p>
    <w:p w14:paraId="07E35FA8" w14:textId="16F1F7F7" w:rsidR="00F11328" w:rsidRDefault="000E103D" w:rsidP="00A9025B">
      <w:hyperlink r:id="rId13" w:history="1">
        <w:r w:rsidRPr="00455327">
          <w:rPr>
            <w:rStyle w:val="Hyperlink"/>
          </w:rPr>
          <w:t>https://www.gpo.gov/fdsys/pkg/FR-2009-08-20/pdf/E9-19930.pdf</w:t>
        </w:r>
      </w:hyperlink>
    </w:p>
    <w:p w14:paraId="46AD89B8" w14:textId="2005745D" w:rsidR="000E103D" w:rsidRDefault="000E103D">
      <w:r>
        <w:br w:type="page"/>
      </w:r>
    </w:p>
    <w:p w14:paraId="171C7A37" w14:textId="612BC371" w:rsidR="000E103D" w:rsidRPr="00A9025B" w:rsidRDefault="000E103D" w:rsidP="000E103D">
      <w:pPr>
        <w:pBdr>
          <w:bottom w:val="single" w:sz="4" w:space="1" w:color="4472C4" w:themeColor="accent1"/>
        </w:pBdr>
        <w:rPr>
          <w:sz w:val="40"/>
          <w:szCs w:val="40"/>
        </w:rPr>
      </w:pPr>
      <w:r>
        <w:rPr>
          <w:sz w:val="40"/>
          <w:szCs w:val="40"/>
        </w:rPr>
        <w:lastRenderedPageBreak/>
        <w:t>IRB Documentation</w:t>
      </w:r>
    </w:p>
    <w:p w14:paraId="3A89573D" w14:textId="77777777" w:rsidR="000E103D" w:rsidRPr="00A9025B" w:rsidRDefault="000E103D" w:rsidP="000E103D">
      <w:pPr>
        <w:rPr>
          <w:u w:val="single"/>
        </w:rPr>
      </w:pPr>
      <w:r w:rsidRPr="00A9025B">
        <w:rPr>
          <w:u w:val="single"/>
        </w:rPr>
        <w:t>Requirements</w:t>
      </w:r>
    </w:p>
    <w:p w14:paraId="173BCC79" w14:textId="77777777" w:rsidR="000E103D" w:rsidRDefault="000E103D" w:rsidP="000E103D">
      <w:pPr>
        <w:pStyle w:val="ListParagraph"/>
        <w:numPr>
          <w:ilvl w:val="0"/>
          <w:numId w:val="5"/>
        </w:numPr>
      </w:pPr>
      <w:r>
        <w:t>Materials submitted to the IRB</w:t>
      </w:r>
    </w:p>
    <w:p w14:paraId="6C1FEFDB" w14:textId="1978C8A7" w:rsidR="000E103D" w:rsidRDefault="000E103D" w:rsidP="000E103D">
      <w:pPr>
        <w:pStyle w:val="ListParagraph"/>
        <w:numPr>
          <w:ilvl w:val="1"/>
          <w:numId w:val="5"/>
        </w:numPr>
      </w:pPr>
      <w:r>
        <w:t>Initial Application or Human Research</w:t>
      </w:r>
    </w:p>
    <w:p w14:paraId="2041A3B7" w14:textId="77415BB1" w:rsidR="000E103D" w:rsidRDefault="000E103D" w:rsidP="000E103D">
      <w:pPr>
        <w:pStyle w:val="ListParagraph"/>
        <w:numPr>
          <w:ilvl w:val="1"/>
          <w:numId w:val="5"/>
        </w:numPr>
      </w:pPr>
      <w:r>
        <w:t>Continuing Review(s)</w:t>
      </w:r>
    </w:p>
    <w:p w14:paraId="11326066" w14:textId="1F1B7963" w:rsidR="000E103D" w:rsidRDefault="000E103D" w:rsidP="000E103D">
      <w:pPr>
        <w:pStyle w:val="ListParagraph"/>
        <w:numPr>
          <w:ilvl w:val="1"/>
          <w:numId w:val="5"/>
        </w:numPr>
      </w:pPr>
      <w:r>
        <w:t>Modification(s)</w:t>
      </w:r>
    </w:p>
    <w:p w14:paraId="54A8F661" w14:textId="375056E3" w:rsidR="000E103D" w:rsidRDefault="000E103D" w:rsidP="000E103D">
      <w:pPr>
        <w:pStyle w:val="ListParagraph"/>
        <w:numPr>
          <w:ilvl w:val="1"/>
          <w:numId w:val="5"/>
        </w:numPr>
      </w:pPr>
      <w:r>
        <w:t>Problem Report form(s)</w:t>
      </w:r>
    </w:p>
    <w:p w14:paraId="7100D275" w14:textId="5DE939BC" w:rsidR="000E103D" w:rsidRDefault="000E103D" w:rsidP="000E103D">
      <w:pPr>
        <w:pStyle w:val="ListParagraph"/>
        <w:numPr>
          <w:ilvl w:val="0"/>
          <w:numId w:val="5"/>
        </w:numPr>
      </w:pPr>
      <w:r>
        <w:t>IRB Outcome Letters</w:t>
      </w:r>
    </w:p>
    <w:p w14:paraId="4796CFEF" w14:textId="2C268F3F" w:rsidR="000E103D" w:rsidRDefault="000E103D" w:rsidP="000E103D">
      <w:pPr>
        <w:pStyle w:val="ListParagraph"/>
        <w:numPr>
          <w:ilvl w:val="0"/>
          <w:numId w:val="5"/>
        </w:numPr>
      </w:pPr>
      <w:r>
        <w:t>Investigator response to IRB (if applicable)</w:t>
      </w:r>
    </w:p>
    <w:p w14:paraId="7FB3E05B" w14:textId="10082575" w:rsidR="000E103D" w:rsidRDefault="000E103D" w:rsidP="000E103D">
      <w:pPr>
        <w:pStyle w:val="ListParagraph"/>
        <w:numPr>
          <w:ilvl w:val="0"/>
          <w:numId w:val="5"/>
        </w:numPr>
      </w:pPr>
      <w:r>
        <w:t>Approved recruitment and consent materials</w:t>
      </w:r>
    </w:p>
    <w:p w14:paraId="32B30FC6" w14:textId="295A5BD5" w:rsidR="000E103D" w:rsidRDefault="000E103D" w:rsidP="000E103D">
      <w:pPr>
        <w:pStyle w:val="ListParagraph"/>
        <w:numPr>
          <w:ilvl w:val="0"/>
          <w:numId w:val="5"/>
        </w:numPr>
      </w:pPr>
      <w:r>
        <w:t>Approved participant-facing materials (study information distributed to participants)</w:t>
      </w:r>
    </w:p>
    <w:p w14:paraId="1A70FD91" w14:textId="5A2DA7F9" w:rsidR="000E103D" w:rsidRDefault="000E103D" w:rsidP="000E103D">
      <w:pPr>
        <w:pStyle w:val="ListParagraph"/>
        <w:numPr>
          <w:ilvl w:val="0"/>
          <w:numId w:val="5"/>
        </w:numPr>
      </w:pPr>
      <w:r>
        <w:t>Foreign language materials (if applicable)</w:t>
      </w:r>
    </w:p>
    <w:p w14:paraId="7BBC66F5" w14:textId="504898B0" w:rsidR="000E103D" w:rsidRDefault="000E103D" w:rsidP="000E103D">
      <w:pPr>
        <w:pStyle w:val="ListParagraph"/>
        <w:numPr>
          <w:ilvl w:val="0"/>
          <w:numId w:val="5"/>
        </w:numPr>
      </w:pPr>
      <w:r>
        <w:t>IRB Membership Roster* containing UConn Health FWA information</w:t>
      </w:r>
    </w:p>
    <w:p w14:paraId="1792E05D" w14:textId="7307524A" w:rsidR="000E103D" w:rsidRDefault="000E103D" w:rsidP="000E103D">
      <w:pPr>
        <w:pStyle w:val="ListParagraph"/>
        <w:numPr>
          <w:ilvl w:val="0"/>
          <w:numId w:val="5"/>
        </w:numPr>
      </w:pPr>
      <w:r>
        <w:t>Additional (significant) correspondence related to the study (e.g., emails)</w:t>
      </w:r>
      <w:r>
        <w:cr/>
      </w:r>
    </w:p>
    <w:p w14:paraId="1F38D773" w14:textId="1AC8773B" w:rsidR="000E103D" w:rsidRPr="00A9025B" w:rsidRDefault="000E103D" w:rsidP="000E103D">
      <w:pPr>
        <w:rPr>
          <w:u w:val="single"/>
        </w:rPr>
      </w:pPr>
      <w:r w:rsidRPr="00A9025B">
        <w:rPr>
          <w:u w:val="single"/>
        </w:rPr>
        <w:t>Tips</w:t>
      </w:r>
    </w:p>
    <w:p w14:paraId="25F5E8A7" w14:textId="50875DD9" w:rsidR="000E103D" w:rsidRDefault="000E103D" w:rsidP="00797768">
      <w:pPr>
        <w:pStyle w:val="ListParagraph"/>
        <w:numPr>
          <w:ilvl w:val="0"/>
          <w:numId w:val="11"/>
        </w:numPr>
      </w:pPr>
      <w:r>
        <w:t>Copies of IRB applications submitted prior to IRIS implementation (March 2013) should be signed and dated.</w:t>
      </w:r>
    </w:p>
    <w:p w14:paraId="05DA7ECE" w14:textId="046C3630" w:rsidR="000E103D" w:rsidRDefault="000E103D" w:rsidP="00797768">
      <w:pPr>
        <w:pStyle w:val="ListParagraph"/>
        <w:numPr>
          <w:ilvl w:val="0"/>
          <w:numId w:val="11"/>
        </w:numPr>
      </w:pPr>
      <w:r>
        <w:t>Approved recruitment materials and additional study information distributed to participants should include version dates and/or numbers.</w:t>
      </w:r>
    </w:p>
    <w:p w14:paraId="2A3F505F" w14:textId="0BCA659D" w:rsidR="000E103D" w:rsidRDefault="000E103D" w:rsidP="00797768">
      <w:pPr>
        <w:pStyle w:val="ListParagraph"/>
        <w:numPr>
          <w:ilvl w:val="0"/>
          <w:numId w:val="11"/>
        </w:numPr>
      </w:pPr>
      <w:r>
        <w:t>File documents in reverse chronological order (e.g., most recent on top).</w:t>
      </w:r>
    </w:p>
    <w:p w14:paraId="59FB1471" w14:textId="427B57F7" w:rsidR="000E103D" w:rsidRDefault="000E103D" w:rsidP="00797768">
      <w:pPr>
        <w:pStyle w:val="ListParagraph"/>
        <w:numPr>
          <w:ilvl w:val="0"/>
          <w:numId w:val="11"/>
        </w:numPr>
      </w:pPr>
      <w:r>
        <w:t>For missing documents submitted prior to ESTR, request a copy from QIP.</w:t>
      </w:r>
    </w:p>
    <w:p w14:paraId="1C1D8CD6" w14:textId="4832B4C9" w:rsidR="000E103D" w:rsidRDefault="000E103D" w:rsidP="00797768">
      <w:pPr>
        <w:pStyle w:val="ListParagraph"/>
        <w:numPr>
          <w:ilvl w:val="0"/>
          <w:numId w:val="11"/>
        </w:numPr>
      </w:pPr>
      <w:r>
        <w:t>Using IRIS as the storage location is not recommended, as computer networks can be unpredictable and inaccessible for routine use or inspection.</w:t>
      </w:r>
    </w:p>
    <w:p w14:paraId="104C1B47" w14:textId="6CE6089A" w:rsidR="000E103D" w:rsidRDefault="000E103D" w:rsidP="00797768">
      <w:pPr>
        <w:pStyle w:val="ListParagraph"/>
        <w:numPr>
          <w:ilvl w:val="0"/>
          <w:numId w:val="11"/>
        </w:numPr>
      </w:pPr>
      <w:r>
        <w:t>Documentation is electronically maintained:</w:t>
      </w:r>
    </w:p>
    <w:p w14:paraId="52BF3FAB" w14:textId="00CDAD13" w:rsidR="000E103D" w:rsidRDefault="000E103D" w:rsidP="00797768">
      <w:pPr>
        <w:pStyle w:val="ListParagraph"/>
        <w:numPr>
          <w:ilvl w:val="1"/>
          <w:numId w:val="10"/>
        </w:numPr>
      </w:pPr>
      <w:r>
        <w:t>In IRIS</w:t>
      </w:r>
    </w:p>
    <w:p w14:paraId="399BA638" w14:textId="03A7A3DF" w:rsidR="000E103D" w:rsidRDefault="000E103D" w:rsidP="00797768">
      <w:pPr>
        <w:pStyle w:val="ListParagraph"/>
        <w:numPr>
          <w:ilvl w:val="1"/>
          <w:numId w:val="10"/>
        </w:numPr>
      </w:pPr>
      <w:r>
        <w:t>If documents are maintained electronically outside of IRIS, write a signed and dated note-to-file indicating the location and who maintains them include a copy of the note-to-file behind this tab.</w:t>
      </w:r>
    </w:p>
    <w:p w14:paraId="0E88CF1F" w14:textId="77777777" w:rsidR="000E103D" w:rsidRDefault="000E103D" w:rsidP="000E103D"/>
    <w:p w14:paraId="317E8598" w14:textId="77777777" w:rsidR="000E103D" w:rsidRDefault="000E103D" w:rsidP="000E103D"/>
    <w:p w14:paraId="5DD7EDEF" w14:textId="77777777" w:rsidR="000E103D" w:rsidRDefault="000E103D" w:rsidP="000E103D"/>
    <w:p w14:paraId="3FCFE23C" w14:textId="77777777" w:rsidR="000E103D" w:rsidRDefault="000E103D" w:rsidP="000E103D">
      <w:pPr>
        <w:pBdr>
          <w:bottom w:val="single" w:sz="4" w:space="1" w:color="4472C4" w:themeColor="accent1"/>
        </w:pBdr>
      </w:pPr>
      <w:r>
        <w:t>Federal Regulations/Good Clinical Practice</w:t>
      </w:r>
    </w:p>
    <w:p w14:paraId="0C4DEA1B" w14:textId="4E0B11A3" w:rsidR="000E103D" w:rsidRDefault="000E103D">
      <w:r>
        <w:t>GCP: 8.2.7; 8.2.9; 8.3.2; 8.3.3; 8.3.4</w:t>
      </w:r>
      <w:r>
        <w:br w:type="page"/>
      </w:r>
    </w:p>
    <w:p w14:paraId="7A5BE6A4" w14:textId="48E3143B" w:rsidR="000E103D" w:rsidRPr="00A9025B" w:rsidRDefault="000E103D" w:rsidP="000E103D">
      <w:pPr>
        <w:pBdr>
          <w:bottom w:val="single" w:sz="4" w:space="1" w:color="4472C4" w:themeColor="accent1"/>
        </w:pBdr>
        <w:rPr>
          <w:sz w:val="40"/>
          <w:szCs w:val="40"/>
        </w:rPr>
      </w:pPr>
      <w:r>
        <w:rPr>
          <w:sz w:val="40"/>
          <w:szCs w:val="40"/>
        </w:rPr>
        <w:lastRenderedPageBreak/>
        <w:t>Logs</w:t>
      </w:r>
    </w:p>
    <w:p w14:paraId="32AC169E" w14:textId="64A41041" w:rsidR="000E103D" w:rsidRPr="00A9025B" w:rsidRDefault="000E103D" w:rsidP="000E103D">
      <w:pPr>
        <w:rPr>
          <w:u w:val="single"/>
        </w:rPr>
      </w:pPr>
      <w:proofErr w:type="gramStart"/>
      <w:r>
        <w:rPr>
          <w:u w:val="single"/>
        </w:rPr>
        <w:t>Recommended</w:t>
      </w:r>
      <w:proofErr w:type="gramEnd"/>
    </w:p>
    <w:p w14:paraId="46091070" w14:textId="77777777" w:rsidR="00B1481E" w:rsidRDefault="00B1481E" w:rsidP="00B1481E">
      <w:pPr>
        <w:pStyle w:val="ListParagraph"/>
        <w:numPr>
          <w:ilvl w:val="0"/>
          <w:numId w:val="5"/>
        </w:numPr>
      </w:pPr>
      <w:r w:rsidRPr="008F1A2C">
        <w:rPr>
          <w:b/>
          <w:bCs/>
        </w:rPr>
        <w:t>Adverse Event Tracking Log</w:t>
      </w:r>
      <w:r>
        <w:t xml:space="preserve"> – used to systematically record all untoward medical occurrences experienced by study participants, regardless of whether they are related to the study treatment/intervention. Logs will typically include the participant ID, description of event, date(s), severity, relatedness, action taken, expectedness, and seriousness.  Logs should be completed contemporaneously to the event and with PI oversight (often documented by signature and date of PI).</w:t>
      </w:r>
    </w:p>
    <w:p w14:paraId="5532B5FB" w14:textId="34DAE528" w:rsidR="00B1481E" w:rsidRDefault="00B1481E" w:rsidP="00B1481E">
      <w:pPr>
        <w:pStyle w:val="ListParagraph"/>
        <w:numPr>
          <w:ilvl w:val="0"/>
          <w:numId w:val="5"/>
        </w:numPr>
      </w:pPr>
      <w:r w:rsidRPr="008F1A2C">
        <w:rPr>
          <w:b/>
          <w:bCs/>
        </w:rPr>
        <w:t>Delegation of Authority/Responsibility Log</w:t>
      </w:r>
      <w:r>
        <w:t xml:space="preserve"> - A comprehensive listing of study team members to whom the PI has delegated significant study-related duties.  It is not intended to note every task an individual performs, </w:t>
      </w:r>
      <w:proofErr w:type="gramStart"/>
      <w:r>
        <w:t>rather</w:t>
      </w:r>
      <w:proofErr w:type="gramEnd"/>
      <w:r>
        <w:t xml:space="preserve"> the significant duties (e.g., related to safety, protocol compliance, data quality/integrity).  The PI is not listed on the delegation log because, while the PI may delegate duties, the PI retains the overall responsibility for conduct of the research, including those tasks delegated to others.  Delegated duties must be appropriate based on the individual’s training/expertise/</w:t>
      </w:r>
      <w:proofErr w:type="gramStart"/>
      <w:r>
        <w:t>licensure</w:t>
      </w:r>
      <w:proofErr w:type="gramEnd"/>
      <w:r>
        <w:t xml:space="preserve"> and the PI must ensure that training documentation is on file to support the delegation.  A sample delegation log is available </w:t>
      </w:r>
      <w:hyperlink r:id="rId14" w:history="1">
        <w:r w:rsidRPr="006274F7">
          <w:rPr>
            <w:rStyle w:val="Hyperlink"/>
          </w:rPr>
          <w:t>here</w:t>
        </w:r>
      </w:hyperlink>
      <w:r>
        <w:t xml:space="preserve">, however study teams may create a site-specific log that is specific to the protocol.  The fields/columns should remain as indicated in the template. </w:t>
      </w:r>
    </w:p>
    <w:p w14:paraId="157C5433" w14:textId="77777777" w:rsidR="00B1481E" w:rsidRDefault="00B1481E" w:rsidP="00B1481E">
      <w:pPr>
        <w:pStyle w:val="ListParagraph"/>
        <w:numPr>
          <w:ilvl w:val="1"/>
          <w:numId w:val="5"/>
        </w:numPr>
      </w:pPr>
      <w:r>
        <w:t>Filling out Delegation log:</w:t>
      </w:r>
    </w:p>
    <w:p w14:paraId="5DB6DF39" w14:textId="77777777" w:rsidR="00B1481E" w:rsidRPr="00451723" w:rsidRDefault="00B1481E" w:rsidP="00B1481E">
      <w:pPr>
        <w:pStyle w:val="ListParagraph"/>
        <w:numPr>
          <w:ilvl w:val="2"/>
          <w:numId w:val="5"/>
        </w:numPr>
        <w:rPr>
          <w:sz w:val="20"/>
          <w:szCs w:val="20"/>
        </w:rPr>
      </w:pPr>
      <w:r w:rsidRPr="00451723">
        <w:rPr>
          <w:sz w:val="20"/>
          <w:szCs w:val="20"/>
        </w:rPr>
        <w:t>All information must be legible and correct.</w:t>
      </w:r>
    </w:p>
    <w:p w14:paraId="4B9E7E79" w14:textId="77777777" w:rsidR="00B1481E" w:rsidRPr="00451723" w:rsidRDefault="00B1481E" w:rsidP="00B1481E">
      <w:pPr>
        <w:pStyle w:val="ListParagraph"/>
        <w:numPr>
          <w:ilvl w:val="2"/>
          <w:numId w:val="5"/>
        </w:numPr>
        <w:rPr>
          <w:sz w:val="20"/>
          <w:szCs w:val="20"/>
        </w:rPr>
      </w:pPr>
      <w:r w:rsidRPr="00451723">
        <w:rPr>
          <w:sz w:val="20"/>
          <w:szCs w:val="20"/>
        </w:rPr>
        <w:t xml:space="preserve">Extra pages (duplicate blank pages) may be </w:t>
      </w:r>
      <w:proofErr w:type="gramStart"/>
      <w:r w:rsidRPr="00451723">
        <w:rPr>
          <w:sz w:val="20"/>
          <w:szCs w:val="20"/>
        </w:rPr>
        <w:t>used, but</w:t>
      </w:r>
      <w:proofErr w:type="gramEnd"/>
      <w:r w:rsidRPr="00451723">
        <w:rPr>
          <w:sz w:val="20"/>
          <w:szCs w:val="20"/>
        </w:rPr>
        <w:t xml:space="preserve"> must be numbered accordingly. </w:t>
      </w:r>
    </w:p>
    <w:p w14:paraId="1A66CFF6" w14:textId="77777777" w:rsidR="00B1481E" w:rsidRPr="00451723" w:rsidRDefault="00B1481E" w:rsidP="00B1481E">
      <w:pPr>
        <w:pStyle w:val="ListParagraph"/>
        <w:numPr>
          <w:ilvl w:val="2"/>
          <w:numId w:val="5"/>
        </w:numPr>
        <w:rPr>
          <w:sz w:val="20"/>
          <w:szCs w:val="20"/>
        </w:rPr>
      </w:pPr>
      <w:r w:rsidRPr="00451723">
        <w:rPr>
          <w:sz w:val="20"/>
          <w:szCs w:val="20"/>
        </w:rPr>
        <w:t xml:space="preserve">The individuals on the log are to use the same signature and initials as provided on the log when signing or </w:t>
      </w:r>
      <w:proofErr w:type="gramStart"/>
      <w:r w:rsidRPr="00451723">
        <w:rPr>
          <w:sz w:val="20"/>
          <w:szCs w:val="20"/>
        </w:rPr>
        <w:t>initialing</w:t>
      </w:r>
      <w:proofErr w:type="gramEnd"/>
      <w:r w:rsidRPr="00451723">
        <w:rPr>
          <w:sz w:val="20"/>
          <w:szCs w:val="20"/>
        </w:rPr>
        <w:t xml:space="preserve"> source documents, case report forms and other essential documents.</w:t>
      </w:r>
    </w:p>
    <w:p w14:paraId="7544C856" w14:textId="77777777" w:rsidR="00B1481E" w:rsidRPr="00206D00" w:rsidRDefault="00B1481E" w:rsidP="00B1481E">
      <w:pPr>
        <w:pStyle w:val="ListParagraph"/>
        <w:numPr>
          <w:ilvl w:val="2"/>
          <w:numId w:val="5"/>
        </w:numPr>
        <w:rPr>
          <w:sz w:val="20"/>
          <w:szCs w:val="20"/>
        </w:rPr>
      </w:pPr>
      <w:r w:rsidRPr="00206D00">
        <w:rPr>
          <w:sz w:val="20"/>
          <w:szCs w:val="20"/>
        </w:rPr>
        <w:t xml:space="preserve">One individual per line.  </w:t>
      </w:r>
    </w:p>
    <w:p w14:paraId="6AC67F61" w14:textId="77777777" w:rsidR="00B1481E" w:rsidRDefault="00B1481E" w:rsidP="00B1481E">
      <w:pPr>
        <w:pStyle w:val="ListParagraph"/>
        <w:numPr>
          <w:ilvl w:val="2"/>
          <w:numId w:val="5"/>
        </w:numPr>
        <w:rPr>
          <w:sz w:val="20"/>
          <w:szCs w:val="20"/>
        </w:rPr>
      </w:pPr>
      <w:r w:rsidRPr="00206D00">
        <w:rPr>
          <w:sz w:val="20"/>
          <w:szCs w:val="20"/>
        </w:rPr>
        <w:t xml:space="preserve">The form will include when the duties </w:t>
      </w:r>
      <w:proofErr w:type="gramStart"/>
      <w:r w:rsidRPr="00206D00">
        <w:rPr>
          <w:sz w:val="20"/>
          <w:szCs w:val="20"/>
        </w:rPr>
        <w:t>were</w:t>
      </w:r>
      <w:proofErr w:type="gramEnd"/>
      <w:r w:rsidRPr="00206D00">
        <w:rPr>
          <w:sz w:val="20"/>
          <w:szCs w:val="20"/>
        </w:rPr>
        <w:t xml:space="preserve"> assigned.  Changes to assigned duties are noted by ending the prior entry of duties and creating a new entry for that individual with the current duties and start date.</w:t>
      </w:r>
    </w:p>
    <w:p w14:paraId="04E79319" w14:textId="5CEB7748" w:rsidR="00006837" w:rsidRDefault="000E103D" w:rsidP="00006837">
      <w:pPr>
        <w:pStyle w:val="ListParagraph"/>
        <w:numPr>
          <w:ilvl w:val="0"/>
          <w:numId w:val="5"/>
        </w:numPr>
      </w:pPr>
      <w:r w:rsidRPr="008F1A2C">
        <w:rPr>
          <w:b/>
          <w:bCs/>
        </w:rPr>
        <w:t>IRB Submission Log</w:t>
      </w:r>
      <w:r w:rsidR="00006837">
        <w:t xml:space="preserve"> – used to document submissions to the IRB (initial approval, amendments, required reporting</w:t>
      </w:r>
    </w:p>
    <w:p w14:paraId="34DC16F4" w14:textId="090D8C0E" w:rsidR="00B1481E" w:rsidRDefault="00B1481E" w:rsidP="00B1481E">
      <w:pPr>
        <w:pStyle w:val="ListParagraph"/>
        <w:numPr>
          <w:ilvl w:val="0"/>
          <w:numId w:val="5"/>
        </w:numPr>
      </w:pPr>
      <w:r w:rsidRPr="008F1A2C">
        <w:rPr>
          <w:b/>
          <w:bCs/>
        </w:rPr>
        <w:t>Participant ID Log or Master Key</w:t>
      </w:r>
      <w:r>
        <w:t xml:space="preserve"> – a secure document that links assigned study ID numbers to </w:t>
      </w:r>
      <w:proofErr w:type="spellStart"/>
      <w:r>
        <w:t>particpants</w:t>
      </w:r>
      <w:proofErr w:type="spellEnd"/>
      <w:r>
        <w:t>’ identities.  It is a vital regulatory requirement to protect confidentiality while allowing the research team to track individual data, follow-up and compensation. Typically contains Study ID, participant name, contact information, identifying information (date of birth, medical record number) and may include date of consent and study status/completion date. This must be maintained securely and separated from study records.</w:t>
      </w:r>
    </w:p>
    <w:p w14:paraId="60FF9CF0" w14:textId="77777777" w:rsidR="00B1481E" w:rsidRDefault="00B1481E" w:rsidP="00B1481E">
      <w:pPr>
        <w:pStyle w:val="ListParagraph"/>
        <w:numPr>
          <w:ilvl w:val="0"/>
          <w:numId w:val="5"/>
        </w:numPr>
      </w:pPr>
      <w:r w:rsidRPr="008F1A2C">
        <w:rPr>
          <w:b/>
          <w:bCs/>
        </w:rPr>
        <w:t>Participant Payment Log</w:t>
      </w:r>
      <w:r>
        <w:t xml:space="preserve"> – used to record participant compensation.  Typically includes participant ID (to maintain confidentiality), payment dates, amounts and methods, and the signature or initials of the individual dispensing payment. Names, social security numbers or other identifiers should not be included on the log. </w:t>
      </w:r>
    </w:p>
    <w:p w14:paraId="6B5803DB" w14:textId="1CFD5ED9" w:rsidR="00006837" w:rsidRDefault="00006837" w:rsidP="00006837">
      <w:pPr>
        <w:pStyle w:val="ListParagraph"/>
        <w:numPr>
          <w:ilvl w:val="0"/>
          <w:numId w:val="5"/>
        </w:numPr>
      </w:pPr>
      <w:r w:rsidRPr="008F1A2C">
        <w:rPr>
          <w:b/>
          <w:bCs/>
        </w:rPr>
        <w:t>Screening / Enrollment Log</w:t>
      </w:r>
      <w:r>
        <w:t xml:space="preserve"> – used to document the chronological status of all potential participants from consent through screening, randomization, study completion or withdrawal.</w:t>
      </w:r>
    </w:p>
    <w:p w14:paraId="47D4CEDA" w14:textId="77777777" w:rsidR="00006837" w:rsidRPr="005930E3" w:rsidRDefault="00006837" w:rsidP="00006837">
      <w:pPr>
        <w:pStyle w:val="ListParagraph"/>
        <w:numPr>
          <w:ilvl w:val="1"/>
          <w:numId w:val="5"/>
        </w:numPr>
      </w:pPr>
      <w:r w:rsidRPr="005930E3">
        <w:t xml:space="preserve">Filling out the Screening/Enrollment Log </w:t>
      </w:r>
    </w:p>
    <w:p w14:paraId="29156445" w14:textId="563261D0" w:rsidR="00006837" w:rsidRDefault="00006837" w:rsidP="005930E3">
      <w:pPr>
        <w:pStyle w:val="ListParagraph"/>
        <w:numPr>
          <w:ilvl w:val="2"/>
          <w:numId w:val="5"/>
        </w:numPr>
      </w:pPr>
      <w:r>
        <w:lastRenderedPageBreak/>
        <w:t xml:space="preserve">Confidentiality should be maintained by using recruitment and/or study ID numbers rather than direct identifiers such as name or medical record number. </w:t>
      </w:r>
    </w:p>
    <w:p w14:paraId="09816ACE" w14:textId="3FD3E2DE" w:rsidR="00006837" w:rsidRDefault="00006837" w:rsidP="00006837">
      <w:pPr>
        <w:pStyle w:val="ListParagraph"/>
        <w:numPr>
          <w:ilvl w:val="2"/>
          <w:numId w:val="5"/>
        </w:numPr>
      </w:pPr>
      <w:r>
        <w:t>maintain the key to the code elsewhere.</w:t>
      </w:r>
    </w:p>
    <w:p w14:paraId="44EB1ECD" w14:textId="77777777" w:rsidR="00006837" w:rsidRDefault="00006837" w:rsidP="00006837">
      <w:pPr>
        <w:pStyle w:val="ListParagraph"/>
        <w:numPr>
          <w:ilvl w:val="2"/>
          <w:numId w:val="5"/>
        </w:numPr>
      </w:pPr>
      <w:r>
        <w:t xml:space="preserve">Include all who were consented and screened, including screen failures.  </w:t>
      </w:r>
    </w:p>
    <w:p w14:paraId="0B0980A2" w14:textId="77777777" w:rsidR="00006837" w:rsidRDefault="00006837" w:rsidP="00006837">
      <w:pPr>
        <w:pStyle w:val="ListParagraph"/>
        <w:numPr>
          <w:ilvl w:val="2"/>
          <w:numId w:val="5"/>
        </w:numPr>
      </w:pPr>
      <w:r>
        <w:t xml:space="preserve">Number each page and </w:t>
      </w:r>
      <w:proofErr w:type="gramStart"/>
      <w:r>
        <w:t>store</w:t>
      </w:r>
      <w:proofErr w:type="gramEnd"/>
      <w:r>
        <w:t xml:space="preserve"> in reverse chronological order, with the newest page placed at the front.  </w:t>
      </w:r>
    </w:p>
    <w:p w14:paraId="709A924B" w14:textId="77777777" w:rsidR="00006837" w:rsidRPr="00206D00" w:rsidRDefault="00006837" w:rsidP="00006837">
      <w:pPr>
        <w:pStyle w:val="ListParagraph"/>
        <w:numPr>
          <w:ilvl w:val="0"/>
          <w:numId w:val="5"/>
        </w:numPr>
        <w:rPr>
          <w:sz w:val="20"/>
          <w:szCs w:val="20"/>
        </w:rPr>
      </w:pPr>
      <w:r w:rsidRPr="008F1A2C">
        <w:rPr>
          <w:b/>
          <w:bCs/>
        </w:rPr>
        <w:t>Signature Log</w:t>
      </w:r>
      <w:r>
        <w:rPr>
          <w:sz w:val="20"/>
          <w:szCs w:val="20"/>
        </w:rPr>
        <w:t xml:space="preserve"> – </w:t>
      </w:r>
      <w:r w:rsidRPr="008F1A2C">
        <w:t>Used to document the names and handwriting of all personnel involved in the conduct of the study.  May be incorporated into a delegation log.</w:t>
      </w:r>
    </w:p>
    <w:p w14:paraId="3AC5CD5D" w14:textId="7973F016" w:rsidR="000E103D" w:rsidRDefault="000E103D" w:rsidP="000E103D">
      <w:pPr>
        <w:pStyle w:val="ListParagraph"/>
        <w:numPr>
          <w:ilvl w:val="0"/>
          <w:numId w:val="5"/>
        </w:numPr>
      </w:pPr>
      <w:r w:rsidRPr="008F1A2C">
        <w:rPr>
          <w:b/>
          <w:bCs/>
        </w:rPr>
        <w:t xml:space="preserve">Study Monitoring / </w:t>
      </w:r>
      <w:r w:rsidR="007C6121" w:rsidRPr="008F1A2C">
        <w:rPr>
          <w:b/>
          <w:bCs/>
        </w:rPr>
        <w:t xml:space="preserve">Site </w:t>
      </w:r>
      <w:r w:rsidRPr="008F1A2C">
        <w:rPr>
          <w:b/>
          <w:bCs/>
        </w:rPr>
        <w:t>Visit Log</w:t>
      </w:r>
      <w:r>
        <w:t>*</w:t>
      </w:r>
      <w:r w:rsidR="009A24D8">
        <w:t xml:space="preserve"> - used to record all monitoring visits, beginning with site initiation and will provide a comprehensive record of all visits, tracking who enters the research facility, the purpose of the visit, and the date(s) of the visit.</w:t>
      </w:r>
    </w:p>
    <w:p w14:paraId="0AB6A9D1" w14:textId="772C17A3" w:rsidR="00006837" w:rsidRPr="005607FD" w:rsidRDefault="00006837" w:rsidP="00006837">
      <w:pPr>
        <w:pStyle w:val="ListParagraph"/>
        <w:numPr>
          <w:ilvl w:val="0"/>
          <w:numId w:val="5"/>
        </w:numPr>
      </w:pPr>
      <w:r w:rsidRPr="008F1A2C">
        <w:rPr>
          <w:b/>
          <w:bCs/>
        </w:rPr>
        <w:t>Training Log</w:t>
      </w:r>
      <w:r>
        <w:t xml:space="preserve"> – Used to document all training </w:t>
      </w:r>
      <w:r w:rsidR="00B1481E">
        <w:t xml:space="preserve">(e.g., protocol training, study-specific training, site initiation </w:t>
      </w:r>
      <w:proofErr w:type="gramStart"/>
      <w:r w:rsidR="00B1481E">
        <w:t>visit</w:t>
      </w:r>
      <w:proofErr w:type="gramEnd"/>
      <w:r w:rsidR="00B1481E">
        <w:t xml:space="preserve"> attendance) </w:t>
      </w:r>
      <w:r>
        <w:t>completed by the study team that is not otherwise documented by other written means</w:t>
      </w:r>
      <w:r w:rsidR="00B1481E">
        <w:t>, such as a training certificate</w:t>
      </w:r>
      <w:r>
        <w:t xml:space="preserve">.  The log should be study/site specific </w:t>
      </w:r>
    </w:p>
    <w:p w14:paraId="682D4368" w14:textId="02C392D1" w:rsidR="00637FEB" w:rsidRDefault="00637FEB" w:rsidP="000E103D">
      <w:pPr>
        <w:pStyle w:val="ListParagraph"/>
        <w:numPr>
          <w:ilvl w:val="0"/>
          <w:numId w:val="5"/>
        </w:numPr>
      </w:pPr>
      <w:r>
        <w:t>Other: _____________________________________________________</w:t>
      </w:r>
    </w:p>
    <w:p w14:paraId="67273E18" w14:textId="77777777" w:rsidR="00B1481E" w:rsidRDefault="00B1481E" w:rsidP="00637FEB">
      <w:pPr>
        <w:ind w:left="360"/>
      </w:pPr>
    </w:p>
    <w:p w14:paraId="110A6AF5" w14:textId="1951834F" w:rsidR="00637FEB" w:rsidRDefault="00637FEB" w:rsidP="00637FEB">
      <w:pPr>
        <w:ind w:left="360"/>
      </w:pPr>
      <w:r>
        <w:t>*Required for FDA-regulated protocols</w:t>
      </w:r>
    </w:p>
    <w:p w14:paraId="7E695D03" w14:textId="77777777" w:rsidR="00637FEB" w:rsidRDefault="00637FEB" w:rsidP="000E103D">
      <w:pPr>
        <w:rPr>
          <w:u w:val="single"/>
        </w:rPr>
      </w:pPr>
    </w:p>
    <w:p w14:paraId="5B6FDAFE" w14:textId="77777777" w:rsidR="00637FEB" w:rsidRDefault="00637FEB" w:rsidP="000E103D">
      <w:pPr>
        <w:rPr>
          <w:u w:val="single"/>
        </w:rPr>
      </w:pPr>
    </w:p>
    <w:p w14:paraId="70B69F54" w14:textId="3D63740A" w:rsidR="008A2433" w:rsidRDefault="00637FEB" w:rsidP="005930E3">
      <w:pPr>
        <w:pStyle w:val="ListParagraph"/>
      </w:pPr>
      <w:r>
        <w:cr/>
      </w:r>
    </w:p>
    <w:p w14:paraId="6388FF51" w14:textId="77777777" w:rsidR="000E103D" w:rsidRDefault="000E103D" w:rsidP="000E103D"/>
    <w:p w14:paraId="4702392D" w14:textId="77777777" w:rsidR="00AF5FC7" w:rsidRPr="00A9025B" w:rsidRDefault="00AF5FC7" w:rsidP="00AF5FC7">
      <w:pPr>
        <w:rPr>
          <w:u w:val="single"/>
        </w:rPr>
      </w:pPr>
      <w:r w:rsidRPr="00A9025B">
        <w:rPr>
          <w:u w:val="single"/>
        </w:rPr>
        <w:t>Tips</w:t>
      </w:r>
    </w:p>
    <w:p w14:paraId="3B583B81" w14:textId="77777777" w:rsidR="00AF5FC7" w:rsidRDefault="00AF5FC7" w:rsidP="00AF5FC7">
      <w:pPr>
        <w:pStyle w:val="ListParagraph"/>
        <w:numPr>
          <w:ilvl w:val="0"/>
          <w:numId w:val="9"/>
        </w:numPr>
      </w:pPr>
      <w:r>
        <w:t>Refer to the HSPP Website for template logs and recordkeeping tools.</w:t>
      </w:r>
    </w:p>
    <w:p w14:paraId="42EF9AA1" w14:textId="77777777" w:rsidR="00AF5FC7" w:rsidRDefault="00AF5FC7" w:rsidP="00AF5FC7">
      <w:pPr>
        <w:pStyle w:val="ListParagraph"/>
        <w:numPr>
          <w:ilvl w:val="0"/>
          <w:numId w:val="9"/>
        </w:numPr>
      </w:pPr>
      <w:r w:rsidRPr="00206D00">
        <w:t>All current and previous logs must be retained</w:t>
      </w:r>
      <w:r>
        <w:t>.  K</w:t>
      </w:r>
      <w:r w:rsidRPr="00206D00">
        <w:t>e</w:t>
      </w:r>
      <w:r>
        <w:t>e</w:t>
      </w:r>
      <w:r w:rsidRPr="00206D00">
        <w:t>p</w:t>
      </w:r>
      <w:r>
        <w:t xml:space="preserve"> logs</w:t>
      </w:r>
      <w:r w:rsidRPr="00206D00">
        <w:t xml:space="preserve"> up to date </w:t>
      </w:r>
      <w:r>
        <w:t>- to ensure accuracy, logs should be updated as soon as possible after a recordable event occurs, preferably on the same day.</w:t>
      </w:r>
    </w:p>
    <w:p w14:paraId="7D0BF95D" w14:textId="77777777" w:rsidR="00AF5FC7" w:rsidRDefault="00AF5FC7" w:rsidP="00AF5FC7">
      <w:pPr>
        <w:pStyle w:val="ListParagraph"/>
        <w:numPr>
          <w:ilvl w:val="0"/>
          <w:numId w:val="9"/>
        </w:numPr>
      </w:pPr>
      <w:r>
        <w:t>Master enrollment logs that contain identifiable information which can be linked to individual/participant codes should be stored in a secure location with restricted access to only appropriate study staff.</w:t>
      </w:r>
    </w:p>
    <w:p w14:paraId="33FAAA77" w14:textId="60E8428F" w:rsidR="00B1481E" w:rsidRPr="005607FD" w:rsidRDefault="00B1481E" w:rsidP="00B1481E">
      <w:pPr>
        <w:pStyle w:val="ListParagraph"/>
        <w:numPr>
          <w:ilvl w:val="0"/>
          <w:numId w:val="9"/>
        </w:numPr>
      </w:pPr>
      <w:r>
        <w:t xml:space="preserve">Each page of the log should be numbered and stored in reverse chronological order with the newest page at the front. </w:t>
      </w:r>
    </w:p>
    <w:p w14:paraId="4593A71C" w14:textId="77777777" w:rsidR="00B1481E" w:rsidRDefault="00B1481E" w:rsidP="005930E3">
      <w:pPr>
        <w:pStyle w:val="ListParagraph"/>
      </w:pPr>
    </w:p>
    <w:p w14:paraId="19B7B818" w14:textId="4F6A4DAF" w:rsidR="000E103D" w:rsidRDefault="00AF5FC7" w:rsidP="00AF5FC7">
      <w:r>
        <w:t>If documents are maintained electronically, write a signed and dated note-to-file indicating the location and who maintains them (</w:t>
      </w:r>
      <w:proofErr w:type="gramStart"/>
      <w:r>
        <w:t>include</w:t>
      </w:r>
      <w:proofErr w:type="gramEnd"/>
      <w:r>
        <w:t xml:space="preserve"> a copy of the note-to-file behind this tab).</w:t>
      </w:r>
    </w:p>
    <w:p w14:paraId="381E3940" w14:textId="77777777" w:rsidR="000E103D" w:rsidRDefault="000E103D" w:rsidP="000E103D">
      <w:pPr>
        <w:pBdr>
          <w:bottom w:val="single" w:sz="4" w:space="1" w:color="4472C4" w:themeColor="accent1"/>
        </w:pBdr>
      </w:pPr>
      <w:r>
        <w:t>Federal Regulations/Good Clinical Practice</w:t>
      </w:r>
    </w:p>
    <w:p w14:paraId="3601442F" w14:textId="77777777" w:rsidR="005410FA" w:rsidRDefault="008617C3">
      <w:r>
        <w:t xml:space="preserve">FDA </w:t>
      </w:r>
      <w:hyperlink r:id="rId15" w:history="1">
        <w:r w:rsidRPr="008617C3">
          <w:rPr>
            <w:rStyle w:val="Hyperlink"/>
          </w:rPr>
          <w:t>Guidance for Industry: Investigator Responsibilities</w:t>
        </w:r>
      </w:hyperlink>
    </w:p>
    <w:p w14:paraId="27412838" w14:textId="23A11F50" w:rsidR="00637FEB" w:rsidRDefault="005410FA">
      <w:r>
        <w:t>GCP E6 4.</w:t>
      </w:r>
      <w:r w:rsidR="00745ABF">
        <w:t>1.5</w:t>
      </w:r>
      <w:r w:rsidR="00637FEB">
        <w:br w:type="page"/>
      </w:r>
    </w:p>
    <w:p w14:paraId="4E18C835" w14:textId="1E188697" w:rsidR="00637FEB" w:rsidRPr="00A9025B" w:rsidRDefault="00637FEB" w:rsidP="00637FEB">
      <w:pPr>
        <w:pBdr>
          <w:bottom w:val="single" w:sz="4" w:space="1" w:color="4472C4" w:themeColor="accent1"/>
        </w:pBdr>
        <w:rPr>
          <w:sz w:val="40"/>
          <w:szCs w:val="40"/>
        </w:rPr>
      </w:pPr>
      <w:r>
        <w:rPr>
          <w:sz w:val="40"/>
          <w:szCs w:val="40"/>
        </w:rPr>
        <w:lastRenderedPageBreak/>
        <w:t>Consent / Recruitment</w:t>
      </w:r>
    </w:p>
    <w:p w14:paraId="27C56AC7" w14:textId="39FF1F27" w:rsidR="00637FEB" w:rsidRPr="00A9025B" w:rsidRDefault="00637FEB" w:rsidP="00637FEB">
      <w:pPr>
        <w:rPr>
          <w:u w:val="single"/>
        </w:rPr>
      </w:pPr>
      <w:r>
        <w:rPr>
          <w:u w:val="single"/>
        </w:rPr>
        <w:t>Requirements</w:t>
      </w:r>
    </w:p>
    <w:p w14:paraId="08F01291" w14:textId="77777777" w:rsidR="00637FEB" w:rsidRDefault="00637FEB" w:rsidP="00637FEB">
      <w:pPr>
        <w:pStyle w:val="ListParagraph"/>
        <w:numPr>
          <w:ilvl w:val="0"/>
          <w:numId w:val="5"/>
        </w:numPr>
      </w:pPr>
      <w:r>
        <w:t>Original blank (unsigned) copies of all IRB approved version of consent and recruitment</w:t>
      </w:r>
    </w:p>
    <w:p w14:paraId="5C34B8DA" w14:textId="49C863CC" w:rsidR="00637FEB" w:rsidRDefault="00637FEB" w:rsidP="00C4035A">
      <w:pPr>
        <w:pStyle w:val="ListParagraph"/>
      </w:pPr>
      <w:r>
        <w:t>materials (evident by the IRB approval/validation watermark), with version date and/or numbe</w:t>
      </w:r>
      <w:r w:rsidR="00C4035A">
        <w:t>r</w:t>
      </w:r>
      <w:r>
        <w:t xml:space="preserve"> </w:t>
      </w:r>
    </w:p>
    <w:p w14:paraId="6DA4748F" w14:textId="3B5C9580" w:rsidR="00637FEB" w:rsidRDefault="00637FEB" w:rsidP="00637FEB">
      <w:pPr>
        <w:pStyle w:val="ListParagraph"/>
        <w:numPr>
          <w:ilvl w:val="0"/>
          <w:numId w:val="5"/>
        </w:numPr>
      </w:pPr>
      <w:r>
        <w:t>Copies of foreign language consent and recruitment materials, if applicable</w:t>
      </w:r>
    </w:p>
    <w:p w14:paraId="046A57D1" w14:textId="2D990907" w:rsidR="00AF5FC7" w:rsidRDefault="00AF5FC7" w:rsidP="00AF5FC7">
      <w:pPr>
        <w:pStyle w:val="ListParagraph"/>
        <w:numPr>
          <w:ilvl w:val="0"/>
          <w:numId w:val="5"/>
        </w:numPr>
      </w:pPr>
      <w:r>
        <w:t xml:space="preserve">Enrollment </w:t>
      </w:r>
      <w:proofErr w:type="gramStart"/>
      <w:r>
        <w:t xml:space="preserve">Log </w:t>
      </w:r>
      <w:r w:rsidR="005930E3">
        <w:t xml:space="preserve"> -</w:t>
      </w:r>
      <w:proofErr w:type="gramEnd"/>
      <w:r w:rsidR="005930E3">
        <w:t xml:space="preserve"> see section on Logs</w:t>
      </w:r>
    </w:p>
    <w:p w14:paraId="61FBBB9A" w14:textId="7EB79E13" w:rsidR="00637FEB" w:rsidRDefault="00637FEB" w:rsidP="00637FEB">
      <w:pPr>
        <w:rPr>
          <w:u w:val="single"/>
        </w:rPr>
      </w:pPr>
    </w:p>
    <w:p w14:paraId="1158E75A" w14:textId="77777777" w:rsidR="00637FEB" w:rsidRDefault="00637FEB" w:rsidP="00637FEB">
      <w:pPr>
        <w:rPr>
          <w:u w:val="single"/>
        </w:rPr>
      </w:pPr>
    </w:p>
    <w:p w14:paraId="1AB02A76" w14:textId="77777777" w:rsidR="00637FEB" w:rsidRPr="00A9025B" w:rsidRDefault="00637FEB" w:rsidP="00637FEB">
      <w:pPr>
        <w:rPr>
          <w:u w:val="single"/>
        </w:rPr>
      </w:pPr>
      <w:r w:rsidRPr="00A9025B">
        <w:rPr>
          <w:u w:val="single"/>
        </w:rPr>
        <w:t>Tips</w:t>
      </w:r>
    </w:p>
    <w:p w14:paraId="41051A4F" w14:textId="04E50DD9" w:rsidR="00531F37" w:rsidRDefault="00ED2163" w:rsidP="00797768">
      <w:pPr>
        <w:pStyle w:val="ListParagraph"/>
        <w:numPr>
          <w:ilvl w:val="0"/>
          <w:numId w:val="7"/>
        </w:numPr>
      </w:pPr>
      <w:r>
        <w:t>Include all IRB approved and stamped versions of consent forms</w:t>
      </w:r>
      <w:r w:rsidR="00C21491">
        <w:t xml:space="preserve"> in reverse chronological order with the current version first.  Place active consent in plastic sleeve.</w:t>
      </w:r>
      <w:r w:rsidR="003C7EB7">
        <w:t xml:space="preserve">  If multiple versions (e.g., adult, child) store </w:t>
      </w:r>
      <w:r w:rsidR="00913A59">
        <w:t>all documents of the same version together.</w:t>
      </w:r>
    </w:p>
    <w:p w14:paraId="73EFEDE7" w14:textId="2DDAE161" w:rsidR="00637FEB" w:rsidRDefault="00637FEB" w:rsidP="00797768">
      <w:pPr>
        <w:pStyle w:val="ListParagraph"/>
        <w:numPr>
          <w:ilvl w:val="0"/>
          <w:numId w:val="7"/>
        </w:numPr>
      </w:pPr>
      <w:r>
        <w:t xml:space="preserve">For available consent and assent templates, refer to “Consent Forms” on the “Forms/Instructions” page of the HSPP website  </w:t>
      </w:r>
    </w:p>
    <w:p w14:paraId="07E5078A" w14:textId="1B190E46" w:rsidR="00637FEB" w:rsidRDefault="00637FEB" w:rsidP="00797768">
      <w:pPr>
        <w:pStyle w:val="ListParagraph"/>
        <w:numPr>
          <w:ilvl w:val="0"/>
          <w:numId w:val="7"/>
        </w:numPr>
      </w:pPr>
      <w:r>
        <w:t xml:space="preserve">Resources are available on the HSPP website to assist with drafting consent/assent materials to ensure that they are regulatory compliant and appropriately written in plain language. </w:t>
      </w:r>
    </w:p>
    <w:p w14:paraId="6F0F12AA" w14:textId="17A23126" w:rsidR="00637FEB" w:rsidRDefault="00637FEB" w:rsidP="00797768">
      <w:pPr>
        <w:pStyle w:val="ListParagraph"/>
        <w:numPr>
          <w:ilvl w:val="0"/>
          <w:numId w:val="7"/>
        </w:numPr>
      </w:pPr>
      <w:r>
        <w:t>Original signed and dated (executed) consent forms should be maintained separately, e.g., with participant files.</w:t>
      </w:r>
    </w:p>
    <w:p w14:paraId="6F40C61D" w14:textId="55D3DAC9" w:rsidR="00637FEB" w:rsidRDefault="00637FEB" w:rsidP="00797768">
      <w:pPr>
        <w:pStyle w:val="ListParagraph"/>
        <w:numPr>
          <w:ilvl w:val="0"/>
          <w:numId w:val="7"/>
        </w:numPr>
      </w:pPr>
      <w:r>
        <w:t>The informed consent process should be documented with a log or a note-to-file that confirms:</w:t>
      </w:r>
    </w:p>
    <w:p w14:paraId="22FD26E5" w14:textId="4BC26D04" w:rsidR="00637FEB" w:rsidRDefault="00637FEB" w:rsidP="00797768">
      <w:pPr>
        <w:pStyle w:val="ListParagraph"/>
        <w:numPr>
          <w:ilvl w:val="1"/>
          <w:numId w:val="8"/>
        </w:numPr>
      </w:pPr>
      <w:r>
        <w:t>The consent/assent process took place</w:t>
      </w:r>
    </w:p>
    <w:p w14:paraId="64C9E972" w14:textId="48277FAB" w:rsidR="00637FEB" w:rsidRDefault="00637FEB" w:rsidP="00797768">
      <w:pPr>
        <w:pStyle w:val="ListParagraph"/>
        <w:numPr>
          <w:ilvl w:val="1"/>
          <w:numId w:val="8"/>
        </w:numPr>
      </w:pPr>
      <w:r>
        <w:t>The participant had sufficient time to consider participation</w:t>
      </w:r>
    </w:p>
    <w:p w14:paraId="310D947B" w14:textId="3CDC3294" w:rsidR="00637FEB" w:rsidRDefault="00637FEB" w:rsidP="00797768">
      <w:pPr>
        <w:pStyle w:val="ListParagraph"/>
        <w:numPr>
          <w:ilvl w:val="1"/>
          <w:numId w:val="8"/>
        </w:numPr>
      </w:pPr>
      <w:r>
        <w:t xml:space="preserve">The </w:t>
      </w:r>
      <w:proofErr w:type="gramStart"/>
      <w:r>
        <w:t>participant’s</w:t>
      </w:r>
      <w:proofErr w:type="gramEnd"/>
      <w:r>
        <w:t xml:space="preserve"> questions were adequately answered</w:t>
      </w:r>
    </w:p>
    <w:p w14:paraId="7105F2E5" w14:textId="4F0E7780" w:rsidR="00637FEB" w:rsidRDefault="00637FEB" w:rsidP="00797768">
      <w:pPr>
        <w:pStyle w:val="ListParagraph"/>
        <w:numPr>
          <w:ilvl w:val="1"/>
          <w:numId w:val="8"/>
        </w:numPr>
      </w:pPr>
      <w:r>
        <w:t>The participant voluntarily signed the consent or assent form</w:t>
      </w:r>
    </w:p>
    <w:p w14:paraId="0C442E96" w14:textId="42175BC6" w:rsidR="00637FEB" w:rsidRDefault="00637FEB" w:rsidP="00797768">
      <w:pPr>
        <w:pStyle w:val="ListParagraph"/>
        <w:numPr>
          <w:ilvl w:val="1"/>
          <w:numId w:val="8"/>
        </w:numPr>
      </w:pPr>
      <w:r>
        <w:t>The participant was provided with a copy of the signed consent form</w:t>
      </w:r>
    </w:p>
    <w:p w14:paraId="52950794" w14:textId="19B21D83" w:rsidR="00637FEB" w:rsidRDefault="00637FEB" w:rsidP="00797768">
      <w:pPr>
        <w:pStyle w:val="ListParagraph"/>
        <w:numPr>
          <w:ilvl w:val="1"/>
          <w:numId w:val="8"/>
        </w:numPr>
      </w:pPr>
      <w:r>
        <w:t>Consent was obtained prior to conducting study procedures</w:t>
      </w:r>
    </w:p>
    <w:p w14:paraId="28B7B0C4" w14:textId="43D2A052" w:rsidR="00637FEB" w:rsidRDefault="00637FEB" w:rsidP="00797768">
      <w:pPr>
        <w:pStyle w:val="ListParagraph"/>
        <w:numPr>
          <w:ilvl w:val="0"/>
          <w:numId w:val="7"/>
        </w:numPr>
      </w:pPr>
      <w:r>
        <w:t>If documents are maintained electronically, write a signed and dated note-to-file indicating the location and who maintains them (</w:t>
      </w:r>
      <w:proofErr w:type="gramStart"/>
      <w:r>
        <w:t>include</w:t>
      </w:r>
      <w:proofErr w:type="gramEnd"/>
      <w:r>
        <w:t xml:space="preserve"> a copy of the note-to-file behind this tab).</w:t>
      </w:r>
      <w:r>
        <w:cr/>
        <w:t xml:space="preserve"> </w:t>
      </w:r>
    </w:p>
    <w:p w14:paraId="2A05278C" w14:textId="77777777" w:rsidR="00637FEB" w:rsidRDefault="00637FEB" w:rsidP="00637FEB"/>
    <w:p w14:paraId="22CADF42" w14:textId="77777777" w:rsidR="00637FEB" w:rsidRDefault="00637FEB" w:rsidP="00637FEB"/>
    <w:p w14:paraId="5BE39FB2" w14:textId="77777777" w:rsidR="00637FEB" w:rsidRDefault="00637FEB" w:rsidP="00637FEB">
      <w:pPr>
        <w:pBdr>
          <w:bottom w:val="single" w:sz="4" w:space="1" w:color="4472C4" w:themeColor="accent1"/>
        </w:pBdr>
      </w:pPr>
      <w:r>
        <w:t>Federal Regulations/Good Clinical Practice</w:t>
      </w:r>
    </w:p>
    <w:p w14:paraId="4B91C771" w14:textId="77777777" w:rsidR="00637FEB" w:rsidRDefault="00637FEB" w:rsidP="00637FEB">
      <w:r>
        <w:t>GCP: 8.2.2; 8.3.2</w:t>
      </w:r>
    </w:p>
    <w:p w14:paraId="329D2713" w14:textId="77777777" w:rsidR="00637FEB" w:rsidRDefault="00637FEB" w:rsidP="00637FEB">
      <w:r>
        <w:t>HHS: 45 CFR §46</w:t>
      </w:r>
    </w:p>
    <w:p w14:paraId="5B7C6418" w14:textId="51F0C264" w:rsidR="00637FEB" w:rsidRDefault="00637FEB" w:rsidP="00637FEB">
      <w:r>
        <w:t>FDA: 21 CFR §50; 21 CFR §56</w:t>
      </w:r>
    </w:p>
    <w:p w14:paraId="40954E3C" w14:textId="77777777" w:rsidR="00637FEB" w:rsidRDefault="00637FEB" w:rsidP="00637FEB"/>
    <w:p w14:paraId="076B8EF9" w14:textId="062CF9A9" w:rsidR="00637FEB" w:rsidRPr="00A9025B" w:rsidRDefault="00637FEB" w:rsidP="005930E3">
      <w:pPr>
        <w:rPr>
          <w:sz w:val="40"/>
          <w:szCs w:val="40"/>
        </w:rPr>
      </w:pPr>
      <w:r>
        <w:rPr>
          <w:sz w:val="40"/>
          <w:szCs w:val="40"/>
        </w:rPr>
        <w:lastRenderedPageBreak/>
        <w:t>Data Collection</w:t>
      </w:r>
    </w:p>
    <w:p w14:paraId="445897C3" w14:textId="77777777" w:rsidR="00637FEB" w:rsidRPr="00A9025B" w:rsidRDefault="00637FEB" w:rsidP="00637FEB">
      <w:pPr>
        <w:rPr>
          <w:u w:val="single"/>
        </w:rPr>
      </w:pPr>
      <w:r>
        <w:rPr>
          <w:u w:val="single"/>
        </w:rPr>
        <w:t>Requirements</w:t>
      </w:r>
    </w:p>
    <w:p w14:paraId="6FC0BE31" w14:textId="5C7D8FB4" w:rsidR="00637FEB" w:rsidRDefault="00637FEB" w:rsidP="704C838A">
      <w:pPr>
        <w:pStyle w:val="ListParagraph"/>
        <w:numPr>
          <w:ilvl w:val="0"/>
          <w:numId w:val="5"/>
        </w:numPr>
      </w:pPr>
      <w:r>
        <w:t>Blank set of case report forms (CRFs), IRB approved data collection sheets, and/or study questionnaires/surveys</w:t>
      </w:r>
    </w:p>
    <w:p w14:paraId="504D46D9" w14:textId="77777777" w:rsidR="00637FEB" w:rsidRDefault="00637FEB" w:rsidP="00637FEB">
      <w:pPr>
        <w:rPr>
          <w:u w:val="single"/>
        </w:rPr>
      </w:pPr>
    </w:p>
    <w:p w14:paraId="3FA3E626" w14:textId="77777777" w:rsidR="00637FEB" w:rsidRPr="00A9025B" w:rsidRDefault="00637FEB" w:rsidP="00637FEB">
      <w:pPr>
        <w:rPr>
          <w:u w:val="single"/>
        </w:rPr>
      </w:pPr>
      <w:r w:rsidRPr="00A9025B">
        <w:rPr>
          <w:u w:val="single"/>
        </w:rPr>
        <w:t>Tips</w:t>
      </w:r>
    </w:p>
    <w:p w14:paraId="1511380D" w14:textId="77777777" w:rsidR="00637FEB" w:rsidRDefault="00637FEB" w:rsidP="00637FEB">
      <w:pPr>
        <w:pStyle w:val="ListParagraph"/>
        <w:numPr>
          <w:ilvl w:val="0"/>
          <w:numId w:val="6"/>
        </w:numPr>
      </w:pPr>
      <w:r>
        <w:t>Using IRIS as the storage location is not recommended, as computer networks can be unpredictable and unavailable to access or for inspection.</w:t>
      </w:r>
    </w:p>
    <w:p w14:paraId="509FFB80" w14:textId="77777777" w:rsidR="00637FEB" w:rsidRDefault="00637FEB" w:rsidP="00637FEB">
      <w:pPr>
        <w:pStyle w:val="ListParagraph"/>
        <w:numPr>
          <w:ilvl w:val="0"/>
          <w:numId w:val="6"/>
        </w:numPr>
      </w:pPr>
      <w:r>
        <w:t>When documentation is electronically maintained, write a note-</w:t>
      </w:r>
      <w:proofErr w:type="gramStart"/>
      <w:r>
        <w:t>to file</w:t>
      </w:r>
      <w:proofErr w:type="gramEnd"/>
      <w:r>
        <w:t xml:space="preserve"> indicating the location and who maintains </w:t>
      </w:r>
      <w:proofErr w:type="gramStart"/>
      <w:r>
        <w:t>them</w:t>
      </w:r>
      <w:proofErr w:type="gramEnd"/>
      <w:r>
        <w:t xml:space="preserve"> (include a copy of the note-to-file behind this tab).</w:t>
      </w:r>
    </w:p>
    <w:p w14:paraId="4783CDAA" w14:textId="142A225E" w:rsidR="00637FEB" w:rsidRDefault="00637FEB" w:rsidP="00637FEB">
      <w:pPr>
        <w:pStyle w:val="ListParagraph"/>
        <w:numPr>
          <w:ilvl w:val="0"/>
          <w:numId w:val="6"/>
        </w:numPr>
      </w:pPr>
      <w:r>
        <w:t>The difference between data collection sheets and case report forms is that data collection sheets typically act as source documentation. That is, during study visits, information is written directly onto the data collection sheets. An industry sponsor usually provides CRFs; all protocol-required information is transferred to CRFs from data collection sheets. All studies should use some type of data collection sheet.</w:t>
      </w:r>
    </w:p>
    <w:p w14:paraId="3FF17A34" w14:textId="502BF204" w:rsidR="00637FEB" w:rsidRDefault="00637FEB" w:rsidP="00637FEB">
      <w:pPr>
        <w:pStyle w:val="ListParagraph"/>
        <w:numPr>
          <w:ilvl w:val="0"/>
          <w:numId w:val="6"/>
        </w:numPr>
      </w:pPr>
      <w:r>
        <w:t xml:space="preserve">Completed data collection sheets should include the participant number and </w:t>
      </w:r>
      <w:proofErr w:type="gramStart"/>
      <w:r>
        <w:t>date, and</w:t>
      </w:r>
      <w:proofErr w:type="gramEnd"/>
      <w:r>
        <w:t xml:space="preserve"> may additionally require the signature of the assessor if data includes </w:t>
      </w:r>
      <w:proofErr w:type="gramStart"/>
      <w:r>
        <w:t>a clinical</w:t>
      </w:r>
      <w:proofErr w:type="gramEnd"/>
      <w:r>
        <w:t xml:space="preserve"> measurement. </w:t>
      </w:r>
    </w:p>
    <w:p w14:paraId="2DE9E473" w14:textId="77777777" w:rsidR="00637FEB" w:rsidRDefault="00637FEB" w:rsidP="00637FEB"/>
    <w:p w14:paraId="00EDD52A" w14:textId="77777777" w:rsidR="00637FEB" w:rsidRDefault="00637FEB" w:rsidP="00637FEB"/>
    <w:p w14:paraId="3F176760" w14:textId="77777777" w:rsidR="00637FEB" w:rsidRDefault="00637FEB" w:rsidP="00637FEB">
      <w:pPr>
        <w:pBdr>
          <w:bottom w:val="single" w:sz="4" w:space="1" w:color="4472C4" w:themeColor="accent1"/>
        </w:pBdr>
      </w:pPr>
      <w:r>
        <w:t>Federal Regulations/Good Clinical Practice</w:t>
      </w:r>
    </w:p>
    <w:p w14:paraId="40B9438B" w14:textId="77777777" w:rsidR="00797768" w:rsidRDefault="00797768" w:rsidP="00797768">
      <w:r>
        <w:t>GCP: 8.3.14; 8.3.15; 4.9.3</w:t>
      </w:r>
    </w:p>
    <w:p w14:paraId="5B1D2043" w14:textId="1E60F1C8" w:rsidR="00637FEB" w:rsidRDefault="00797768" w:rsidP="00797768">
      <w:r>
        <w:t>FDA: 21 CFR §312.53; 21 CFR §312.62</w:t>
      </w:r>
    </w:p>
    <w:p w14:paraId="586543A9" w14:textId="77777777" w:rsidR="00797768" w:rsidRDefault="00797768" w:rsidP="00797768"/>
    <w:p w14:paraId="4DDF1253" w14:textId="01CEDA70" w:rsidR="00797768" w:rsidRDefault="00797768">
      <w:r>
        <w:br w:type="page"/>
      </w:r>
    </w:p>
    <w:p w14:paraId="6EDA72A7" w14:textId="3EE23165" w:rsidR="00323B01" w:rsidRPr="00A9025B" w:rsidRDefault="00323B01" w:rsidP="00323B01">
      <w:pPr>
        <w:pBdr>
          <w:bottom w:val="single" w:sz="4" w:space="1" w:color="4472C4" w:themeColor="accent1"/>
        </w:pBdr>
        <w:rPr>
          <w:sz w:val="40"/>
          <w:szCs w:val="40"/>
        </w:rPr>
      </w:pPr>
      <w:r>
        <w:rPr>
          <w:sz w:val="40"/>
          <w:szCs w:val="40"/>
        </w:rPr>
        <w:lastRenderedPageBreak/>
        <w:br w:type="page"/>
      </w:r>
      <w:r>
        <w:rPr>
          <w:sz w:val="40"/>
          <w:szCs w:val="40"/>
        </w:rPr>
        <w:lastRenderedPageBreak/>
        <w:t>HIPAA</w:t>
      </w:r>
    </w:p>
    <w:p w14:paraId="254468F6" w14:textId="77777777" w:rsidR="005930E3" w:rsidRPr="00A9025B" w:rsidRDefault="005930E3" w:rsidP="005930E3">
      <w:pPr>
        <w:rPr>
          <w:u w:val="single"/>
        </w:rPr>
      </w:pPr>
      <w:r>
        <w:rPr>
          <w:u w:val="single"/>
        </w:rPr>
        <w:t>Requirements</w:t>
      </w:r>
    </w:p>
    <w:p w14:paraId="78B05479" w14:textId="2FF0D6B7" w:rsidR="005930E3" w:rsidRDefault="005930E3" w:rsidP="005930E3">
      <w:pPr>
        <w:pStyle w:val="ListParagraph"/>
        <w:numPr>
          <w:ilvl w:val="0"/>
          <w:numId w:val="5"/>
        </w:numPr>
      </w:pPr>
      <w:r>
        <w:t xml:space="preserve">Original blank (unsigned) copies of all IRB approved versions of HIPAA Authorization </w:t>
      </w:r>
      <w:r w:rsidRPr="005930E3">
        <w:t>(evident by the IRB approval/validation watermark), with version date and/or number</w:t>
      </w:r>
    </w:p>
    <w:p w14:paraId="4C7B68E1" w14:textId="31EBB04C" w:rsidR="005930E3" w:rsidRDefault="001233DD" w:rsidP="005930E3">
      <w:pPr>
        <w:pStyle w:val="ListParagraph"/>
        <w:numPr>
          <w:ilvl w:val="0"/>
          <w:numId w:val="5"/>
        </w:numPr>
      </w:pPr>
      <w:r>
        <w:t>W</w:t>
      </w:r>
      <w:r w:rsidR="005930E3">
        <w:t>aiver of HIPAA Authorization form</w:t>
      </w:r>
      <w:r>
        <w:t xml:space="preserve"> approved by IRB</w:t>
      </w:r>
      <w:r w:rsidR="005930E3">
        <w:t>, if applicable</w:t>
      </w:r>
    </w:p>
    <w:p w14:paraId="165D44F3" w14:textId="77777777" w:rsidR="00323B01" w:rsidRDefault="00323B01" w:rsidP="00323B01">
      <w:pPr>
        <w:rPr>
          <w:u w:val="single"/>
        </w:rPr>
      </w:pPr>
    </w:p>
    <w:p w14:paraId="132ACA1D" w14:textId="77777777" w:rsidR="00323B01" w:rsidRPr="00A9025B" w:rsidRDefault="00323B01" w:rsidP="00323B01">
      <w:pPr>
        <w:rPr>
          <w:u w:val="single"/>
        </w:rPr>
      </w:pPr>
      <w:r w:rsidRPr="00A9025B">
        <w:rPr>
          <w:u w:val="single"/>
        </w:rPr>
        <w:t>Tips</w:t>
      </w:r>
    </w:p>
    <w:p w14:paraId="6B9877F9" w14:textId="77777777" w:rsidR="00323B01" w:rsidRDefault="00323B01" w:rsidP="00323B01">
      <w:pPr>
        <w:pStyle w:val="ListParagraph"/>
        <w:numPr>
          <w:ilvl w:val="0"/>
          <w:numId w:val="6"/>
        </w:numPr>
      </w:pPr>
      <w:r>
        <w:t>When documentation is electronically maintained, write a note-</w:t>
      </w:r>
      <w:proofErr w:type="gramStart"/>
      <w:r>
        <w:t>to file</w:t>
      </w:r>
      <w:proofErr w:type="gramEnd"/>
      <w:r>
        <w:t xml:space="preserve"> indicating the location and who maintains </w:t>
      </w:r>
      <w:proofErr w:type="gramStart"/>
      <w:r>
        <w:t>them</w:t>
      </w:r>
      <w:proofErr w:type="gramEnd"/>
      <w:r>
        <w:t xml:space="preserve"> (include a copy of the note-to-file behind this tab).</w:t>
      </w:r>
    </w:p>
    <w:p w14:paraId="478D27C3" w14:textId="77777777" w:rsidR="00323B01" w:rsidRDefault="00323B01" w:rsidP="00323B01">
      <w:pPr>
        <w:pStyle w:val="ListParagraph"/>
      </w:pPr>
    </w:p>
    <w:p w14:paraId="0D3B4480" w14:textId="77777777" w:rsidR="00323B01" w:rsidRDefault="00323B01" w:rsidP="00323B01"/>
    <w:p w14:paraId="35BFA21D" w14:textId="77777777" w:rsidR="00323B01" w:rsidRDefault="00323B01" w:rsidP="00323B01"/>
    <w:p w14:paraId="13BB148B" w14:textId="77777777" w:rsidR="00323B01" w:rsidRDefault="00323B01" w:rsidP="00323B01">
      <w:pPr>
        <w:pBdr>
          <w:bottom w:val="single" w:sz="4" w:space="1" w:color="4472C4" w:themeColor="accent1"/>
        </w:pBdr>
      </w:pPr>
      <w:r>
        <w:t xml:space="preserve">Federal and </w:t>
      </w:r>
      <w:r w:rsidRPr="005930E3">
        <w:t>State</w:t>
      </w:r>
      <w:r>
        <w:t xml:space="preserve"> Regulations/Institutional Policies/Good Clinical Practice</w:t>
      </w:r>
    </w:p>
    <w:p w14:paraId="0B0FE274" w14:textId="77777777" w:rsidR="00323B01" w:rsidRDefault="00323B01" w:rsidP="00323B01">
      <w:r>
        <w:t>HHS: 45 CFR §160; 45 CFR §162, 45 CFR §164 (Subparts A and C)</w:t>
      </w:r>
    </w:p>
    <w:p w14:paraId="751D9F93" w14:textId="77777777" w:rsidR="00323B01" w:rsidRDefault="00323B01" w:rsidP="00323B01">
      <w:r>
        <w:t>OCR (Office of Civil Rights): HIPAA Privacy Rule and Security Rule (as amended):</w:t>
      </w:r>
    </w:p>
    <w:p w14:paraId="0C7FBC5F" w14:textId="2C3F5BBC" w:rsidR="00323B01" w:rsidRDefault="00466B41" w:rsidP="00323B01">
      <w:hyperlink r:id="rId16" w:history="1">
        <w:r w:rsidRPr="008A31BA">
          <w:rPr>
            <w:rStyle w:val="Hyperlink"/>
          </w:rPr>
          <w:t>https://www.hhs.gov/hipaa/index.html</w:t>
        </w:r>
      </w:hyperlink>
    </w:p>
    <w:p w14:paraId="1133CD4A" w14:textId="7FF98C55" w:rsidR="00323B01" w:rsidRDefault="00323B01">
      <w:pPr>
        <w:rPr>
          <w:sz w:val="40"/>
          <w:szCs w:val="40"/>
        </w:rPr>
      </w:pPr>
    </w:p>
    <w:p w14:paraId="7C8C6CF3" w14:textId="77777777" w:rsidR="00AA6BFE" w:rsidRDefault="00AA6BFE">
      <w:pPr>
        <w:rPr>
          <w:sz w:val="40"/>
          <w:szCs w:val="40"/>
        </w:rPr>
      </w:pPr>
      <w:r>
        <w:rPr>
          <w:sz w:val="40"/>
          <w:szCs w:val="40"/>
        </w:rPr>
        <w:br w:type="page"/>
      </w:r>
    </w:p>
    <w:p w14:paraId="1FE517E8" w14:textId="4ECBD3E2" w:rsidR="00797768" w:rsidRPr="00A9025B" w:rsidRDefault="00797768" w:rsidP="00797768">
      <w:pPr>
        <w:pBdr>
          <w:bottom w:val="single" w:sz="4" w:space="1" w:color="4472C4" w:themeColor="accent1"/>
        </w:pBdr>
        <w:rPr>
          <w:sz w:val="40"/>
          <w:szCs w:val="40"/>
        </w:rPr>
      </w:pPr>
      <w:r>
        <w:rPr>
          <w:sz w:val="40"/>
          <w:szCs w:val="40"/>
        </w:rPr>
        <w:lastRenderedPageBreak/>
        <w:t>Data Protection</w:t>
      </w:r>
    </w:p>
    <w:p w14:paraId="32D2D801" w14:textId="783AD188" w:rsidR="00797768" w:rsidRPr="00A9025B" w:rsidRDefault="00797768" w:rsidP="00797768">
      <w:pPr>
        <w:rPr>
          <w:u w:val="single"/>
        </w:rPr>
      </w:pPr>
      <w:r>
        <w:rPr>
          <w:u w:val="single"/>
        </w:rPr>
        <w:t>Recommendations</w:t>
      </w:r>
    </w:p>
    <w:p w14:paraId="35737F8A" w14:textId="514E5032" w:rsidR="001233DD" w:rsidRDefault="001233DD" w:rsidP="00797768">
      <w:pPr>
        <w:pStyle w:val="ListParagraph"/>
        <w:numPr>
          <w:ilvl w:val="0"/>
          <w:numId w:val="5"/>
        </w:numPr>
      </w:pPr>
      <w:r>
        <w:t>Data Management and Sharing Plan</w:t>
      </w:r>
    </w:p>
    <w:p w14:paraId="11871B48" w14:textId="2A7DD12E" w:rsidR="001233DD" w:rsidRDefault="001233DD" w:rsidP="001233DD">
      <w:pPr>
        <w:pStyle w:val="ListParagraph"/>
        <w:numPr>
          <w:ilvl w:val="0"/>
          <w:numId w:val="5"/>
        </w:numPr>
      </w:pPr>
      <w:r>
        <w:t>Data Monitoring and Safety Plan (DSMP) or Board (DSMB) Charter</w:t>
      </w:r>
    </w:p>
    <w:p w14:paraId="1B340E1E" w14:textId="77777777" w:rsidR="001233DD" w:rsidRDefault="001233DD" w:rsidP="001233DD">
      <w:pPr>
        <w:pStyle w:val="ListParagraph"/>
        <w:numPr>
          <w:ilvl w:val="0"/>
          <w:numId w:val="5"/>
        </w:numPr>
      </w:pPr>
      <w:r>
        <w:t>Data Use Agreement(s) or other agreement(s)/contract(s) pertaining to data sharing with external collaborators, vendors, and/or 3rd party business associates (signed and dated by all parties)</w:t>
      </w:r>
    </w:p>
    <w:p w14:paraId="4C80578D" w14:textId="77777777" w:rsidR="001233DD" w:rsidRPr="00797768" w:rsidRDefault="001233DD" w:rsidP="001233DD">
      <w:pPr>
        <w:pStyle w:val="ListParagraph"/>
        <w:numPr>
          <w:ilvl w:val="0"/>
          <w:numId w:val="5"/>
        </w:numPr>
        <w:rPr>
          <w:u w:val="single"/>
        </w:rPr>
      </w:pPr>
      <w:r>
        <w:t xml:space="preserve">IT Confirmation that mobile applications / storage </w:t>
      </w:r>
      <w:proofErr w:type="gramStart"/>
      <w:r>
        <w:t>are</w:t>
      </w:r>
      <w:proofErr w:type="gramEnd"/>
      <w:r>
        <w:t xml:space="preserve"> HIPAA-compliant  </w:t>
      </w:r>
      <w:r w:rsidRPr="00797768">
        <w:rPr>
          <w:u w:val="single"/>
        </w:rPr>
        <w:t xml:space="preserve"> </w:t>
      </w:r>
    </w:p>
    <w:p w14:paraId="16CB47F0" w14:textId="2554A6D2" w:rsidR="001233DD" w:rsidRDefault="001233DD" w:rsidP="00797768">
      <w:pPr>
        <w:pStyle w:val="ListParagraph"/>
        <w:numPr>
          <w:ilvl w:val="0"/>
          <w:numId w:val="5"/>
        </w:numPr>
      </w:pPr>
      <w:r>
        <w:t xml:space="preserve">Standard Operating Procedures (SOPs) maintained separately from the protocol, such as: </w:t>
      </w:r>
    </w:p>
    <w:p w14:paraId="48EC3115" w14:textId="18DA90F8" w:rsidR="00797768" w:rsidRDefault="00797768" w:rsidP="008F1A2C">
      <w:pPr>
        <w:pStyle w:val="ListParagraph"/>
        <w:numPr>
          <w:ilvl w:val="1"/>
          <w:numId w:val="5"/>
        </w:numPr>
      </w:pPr>
      <w:r>
        <w:t xml:space="preserve">Data Collection/Use </w:t>
      </w:r>
    </w:p>
    <w:p w14:paraId="2823D5E9" w14:textId="6FFBF955" w:rsidR="00797768" w:rsidRDefault="00797768" w:rsidP="008F1A2C">
      <w:pPr>
        <w:pStyle w:val="ListParagraph"/>
        <w:numPr>
          <w:ilvl w:val="1"/>
          <w:numId w:val="5"/>
        </w:numPr>
      </w:pPr>
      <w:r>
        <w:t xml:space="preserve">Data Storage </w:t>
      </w:r>
    </w:p>
    <w:p w14:paraId="01D218FA" w14:textId="2C281D53" w:rsidR="00797768" w:rsidRDefault="00797768" w:rsidP="008F1A2C">
      <w:pPr>
        <w:pStyle w:val="ListParagraph"/>
        <w:numPr>
          <w:ilvl w:val="1"/>
          <w:numId w:val="5"/>
        </w:numPr>
      </w:pPr>
      <w:r>
        <w:t xml:space="preserve">Data Transfer/Sharing </w:t>
      </w:r>
    </w:p>
    <w:p w14:paraId="7414CD50" w14:textId="32226136" w:rsidR="00797768" w:rsidRDefault="00797768" w:rsidP="008F1A2C">
      <w:pPr>
        <w:pStyle w:val="ListParagraph"/>
        <w:numPr>
          <w:ilvl w:val="1"/>
          <w:numId w:val="5"/>
        </w:numPr>
      </w:pPr>
      <w:r>
        <w:t xml:space="preserve">Data Management </w:t>
      </w:r>
    </w:p>
    <w:p w14:paraId="5D15737E" w14:textId="279D2AC9" w:rsidR="00797768" w:rsidRDefault="00797768" w:rsidP="00797768">
      <w:pPr>
        <w:pStyle w:val="ListParagraph"/>
        <w:numPr>
          <w:ilvl w:val="1"/>
          <w:numId w:val="5"/>
        </w:numPr>
      </w:pPr>
      <w:r>
        <w:t>Protection and security of research data</w:t>
      </w:r>
    </w:p>
    <w:p w14:paraId="1AFC9C3E" w14:textId="4F13C8DB" w:rsidR="00797768" w:rsidRDefault="00797768" w:rsidP="00797768">
      <w:pPr>
        <w:pStyle w:val="ListParagraph"/>
        <w:numPr>
          <w:ilvl w:val="1"/>
          <w:numId w:val="5"/>
        </w:numPr>
      </w:pPr>
      <w:r>
        <w:t>Risk Management, which includes data breach and response</w:t>
      </w:r>
    </w:p>
    <w:p w14:paraId="6802A67A" w14:textId="4169F3E6" w:rsidR="00797768" w:rsidRDefault="00797768" w:rsidP="008F1A2C">
      <w:pPr>
        <w:pStyle w:val="ListParagraph"/>
        <w:numPr>
          <w:ilvl w:val="1"/>
          <w:numId w:val="5"/>
        </w:numPr>
      </w:pPr>
      <w:r>
        <w:t xml:space="preserve">Data Retention/Return and/or Destruction </w:t>
      </w:r>
    </w:p>
    <w:p w14:paraId="3DB6D795" w14:textId="77777777" w:rsidR="00797768" w:rsidRDefault="00797768" w:rsidP="00797768">
      <w:pPr>
        <w:rPr>
          <w:u w:val="single"/>
        </w:rPr>
      </w:pPr>
    </w:p>
    <w:p w14:paraId="2A7950E9" w14:textId="77777777" w:rsidR="00797768" w:rsidRPr="00A9025B" w:rsidRDefault="00797768" w:rsidP="00797768">
      <w:pPr>
        <w:rPr>
          <w:u w:val="single"/>
        </w:rPr>
      </w:pPr>
      <w:r w:rsidRPr="00A9025B">
        <w:rPr>
          <w:u w:val="single"/>
        </w:rPr>
        <w:t>Tips</w:t>
      </w:r>
    </w:p>
    <w:p w14:paraId="2C1DC801" w14:textId="77777777" w:rsidR="00797768" w:rsidRDefault="00797768" w:rsidP="00797768">
      <w:pPr>
        <w:pStyle w:val="ListParagraph"/>
        <w:numPr>
          <w:ilvl w:val="0"/>
          <w:numId w:val="6"/>
        </w:numPr>
      </w:pPr>
      <w:r>
        <w:t>When documentation is electronically maintained, write a note-</w:t>
      </w:r>
      <w:proofErr w:type="gramStart"/>
      <w:r>
        <w:t>to file</w:t>
      </w:r>
      <w:proofErr w:type="gramEnd"/>
      <w:r>
        <w:t xml:space="preserve"> indicating the location and who maintains </w:t>
      </w:r>
      <w:proofErr w:type="gramStart"/>
      <w:r>
        <w:t>them</w:t>
      </w:r>
      <w:proofErr w:type="gramEnd"/>
      <w:r>
        <w:t xml:space="preserve"> (include a copy of the note-to-file behind this tab).</w:t>
      </w:r>
    </w:p>
    <w:p w14:paraId="71E0B919" w14:textId="77777777" w:rsidR="001233DD" w:rsidRDefault="00797768" w:rsidP="00797768">
      <w:pPr>
        <w:pStyle w:val="ListParagraph"/>
        <w:numPr>
          <w:ilvl w:val="0"/>
          <w:numId w:val="6"/>
        </w:numPr>
      </w:pPr>
      <w:r>
        <w:rPr>
          <w:b/>
          <w:bCs/>
        </w:rPr>
        <w:t xml:space="preserve">Studies with </w:t>
      </w:r>
      <w:r w:rsidRPr="00797768">
        <w:rPr>
          <w:b/>
          <w:bCs/>
        </w:rPr>
        <w:t>Reliance</w:t>
      </w:r>
      <w:r>
        <w:t xml:space="preserve">: </w:t>
      </w:r>
    </w:p>
    <w:p w14:paraId="0D8E9DF1" w14:textId="7C1E60CD" w:rsidR="00797768" w:rsidRDefault="00797768" w:rsidP="008F1A2C">
      <w:pPr>
        <w:pStyle w:val="ListParagraph"/>
        <w:numPr>
          <w:ilvl w:val="1"/>
          <w:numId w:val="6"/>
        </w:numPr>
      </w:pPr>
      <w:r>
        <w:t xml:space="preserve">Investigators </w:t>
      </w:r>
      <w:r w:rsidR="001233DD">
        <w:t xml:space="preserve">at </w:t>
      </w:r>
      <w:proofErr w:type="gramStart"/>
      <w:r w:rsidR="001233DD">
        <w:t>relying</w:t>
      </w:r>
      <w:proofErr w:type="gramEnd"/>
      <w:r w:rsidR="001233DD">
        <w:t xml:space="preserve"> sites </w:t>
      </w:r>
      <w:r>
        <w:t>must follow the data protection policies and procedures of their home institution</w:t>
      </w:r>
      <w:r w:rsidR="001233DD">
        <w:t xml:space="preserve"> and should c</w:t>
      </w:r>
      <w:r>
        <w:t xml:space="preserve">ontact </w:t>
      </w:r>
      <w:r w:rsidR="001233DD">
        <w:t>their</w:t>
      </w:r>
      <w:r>
        <w:t xml:space="preserve"> institution for additional guidance.</w:t>
      </w:r>
    </w:p>
    <w:p w14:paraId="04723B23" w14:textId="11AD19BF" w:rsidR="00302491" w:rsidRDefault="00302491" w:rsidP="008F1A2C">
      <w:pPr>
        <w:pStyle w:val="ListParagraph"/>
        <w:numPr>
          <w:ilvl w:val="1"/>
          <w:numId w:val="6"/>
        </w:numPr>
      </w:pPr>
      <w:r>
        <w:t>Relying sites should maintain a separate regulatory binder with study-specific and site-specific information</w:t>
      </w:r>
    </w:p>
    <w:p w14:paraId="334DD648" w14:textId="1C85BA39" w:rsidR="00797768" w:rsidRDefault="00797768" w:rsidP="00797768">
      <w:pPr>
        <w:pStyle w:val="ListParagraph"/>
      </w:pPr>
    </w:p>
    <w:p w14:paraId="4C2256AE" w14:textId="77777777" w:rsidR="00797768" w:rsidRDefault="00797768" w:rsidP="00797768"/>
    <w:p w14:paraId="5C6438D6" w14:textId="77777777" w:rsidR="00797768" w:rsidRDefault="00797768" w:rsidP="00797768"/>
    <w:p w14:paraId="0BE54B9A" w14:textId="0E6014C4" w:rsidR="00797768" w:rsidRDefault="00797768" w:rsidP="00797768">
      <w:pPr>
        <w:pBdr>
          <w:bottom w:val="single" w:sz="4" w:space="1" w:color="4472C4" w:themeColor="accent1"/>
        </w:pBdr>
      </w:pPr>
      <w:r>
        <w:t xml:space="preserve">Federal and </w:t>
      </w:r>
      <w:r w:rsidRPr="005930E3">
        <w:t>State</w:t>
      </w:r>
      <w:r>
        <w:t xml:space="preserve"> Regulations/Institutional Policies/Good Clinical Practice</w:t>
      </w:r>
    </w:p>
    <w:p w14:paraId="614A8683" w14:textId="77777777" w:rsidR="00797768" w:rsidRDefault="00797768" w:rsidP="00797768">
      <w:r>
        <w:t>HHS: 45 CFR §160; 45 CFR §162, 45 CFR §164 (Subparts A and C)</w:t>
      </w:r>
    </w:p>
    <w:p w14:paraId="03172D7B" w14:textId="77777777" w:rsidR="00797768" w:rsidRDefault="00797768" w:rsidP="00797768">
      <w:r>
        <w:t>FDA: 21 CFR §11</w:t>
      </w:r>
    </w:p>
    <w:p w14:paraId="2E86A057" w14:textId="77777777" w:rsidR="00797768" w:rsidRDefault="00797768" w:rsidP="00797768">
      <w:r>
        <w:t>OCR (Office of Civil Rights): HIPAA Privacy Rule and Security Rule (as amended):</w:t>
      </w:r>
    </w:p>
    <w:p w14:paraId="7DC1FCB3" w14:textId="77777777" w:rsidR="00797768" w:rsidRDefault="00797768" w:rsidP="00797768">
      <w:r>
        <w:t>https://www.hhs.gov/hipaa/index.html</w:t>
      </w:r>
    </w:p>
    <w:p w14:paraId="5DD0458F" w14:textId="77777777" w:rsidR="00797768" w:rsidRDefault="00797768" w:rsidP="00797768">
      <w:r>
        <w:t>Other Resources:</w:t>
      </w:r>
    </w:p>
    <w:p w14:paraId="17258323" w14:textId="2C857A36" w:rsidR="03CC8C5D" w:rsidRDefault="03CC8C5D" w:rsidP="03CC8C5D">
      <w:pPr>
        <w:pBdr>
          <w:bottom w:val="single" w:sz="4" w:space="1" w:color="4472C4" w:themeColor="accent1"/>
        </w:pBdr>
        <w:rPr>
          <w:sz w:val="40"/>
          <w:szCs w:val="40"/>
        </w:rPr>
      </w:pPr>
    </w:p>
    <w:p w14:paraId="6B385D11" w14:textId="47273B84" w:rsidR="03CC8C5D" w:rsidRDefault="03CC8C5D" w:rsidP="03CC8C5D">
      <w:pPr>
        <w:pBdr>
          <w:bottom w:val="single" w:sz="4" w:space="1" w:color="4472C4" w:themeColor="accent1"/>
        </w:pBdr>
        <w:rPr>
          <w:sz w:val="40"/>
          <w:szCs w:val="40"/>
        </w:rPr>
      </w:pPr>
    </w:p>
    <w:p w14:paraId="598B8B3C" w14:textId="0F9E123F" w:rsidR="00797768" w:rsidRPr="00A9025B" w:rsidRDefault="00797768" w:rsidP="00797768">
      <w:pPr>
        <w:pBdr>
          <w:bottom w:val="single" w:sz="4" w:space="1" w:color="4472C4" w:themeColor="accent1"/>
        </w:pBdr>
        <w:rPr>
          <w:sz w:val="40"/>
          <w:szCs w:val="40"/>
        </w:rPr>
      </w:pPr>
      <w:r>
        <w:rPr>
          <w:sz w:val="40"/>
          <w:szCs w:val="40"/>
        </w:rPr>
        <w:t>Sponsor</w:t>
      </w:r>
      <w:r w:rsidR="001D16BF">
        <w:rPr>
          <w:sz w:val="40"/>
          <w:szCs w:val="40"/>
        </w:rPr>
        <w:t xml:space="preserve"> Documents </w:t>
      </w:r>
    </w:p>
    <w:p w14:paraId="596952AA" w14:textId="77777777" w:rsidR="00797768" w:rsidRPr="00A9025B" w:rsidRDefault="00797768" w:rsidP="00797768">
      <w:pPr>
        <w:rPr>
          <w:u w:val="single"/>
        </w:rPr>
      </w:pPr>
      <w:r>
        <w:rPr>
          <w:u w:val="single"/>
        </w:rPr>
        <w:t>Requirements</w:t>
      </w:r>
    </w:p>
    <w:p w14:paraId="389523BE" w14:textId="1BB4C27E" w:rsidR="00797768" w:rsidRDefault="00797768" w:rsidP="00797768">
      <w:pPr>
        <w:pStyle w:val="ListParagraph"/>
        <w:numPr>
          <w:ilvl w:val="0"/>
          <w:numId w:val="5"/>
        </w:numPr>
      </w:pPr>
      <w:r>
        <w:t>Copy of all versions of the Sponsor’s Protocol (with version dates)</w:t>
      </w:r>
    </w:p>
    <w:p w14:paraId="1974A92C" w14:textId="3246F57B" w:rsidR="00797768" w:rsidRDefault="00797768" w:rsidP="00797768">
      <w:pPr>
        <w:pStyle w:val="ListParagraph"/>
        <w:numPr>
          <w:ilvl w:val="0"/>
          <w:numId w:val="5"/>
        </w:numPr>
      </w:pPr>
      <w:r>
        <w:t>All correspondence to and from the sponsor (e.g., letters, meeting notes, and notes of telephone calls)</w:t>
      </w:r>
    </w:p>
    <w:p w14:paraId="3F6406C5" w14:textId="73CBBA51" w:rsidR="00797768" w:rsidRDefault="00797768" w:rsidP="00797768">
      <w:pPr>
        <w:pStyle w:val="ListParagraph"/>
        <w:numPr>
          <w:ilvl w:val="0"/>
          <w:numId w:val="5"/>
        </w:numPr>
      </w:pPr>
      <w:r>
        <w:t>Signed agreements, including financial agreements</w:t>
      </w:r>
    </w:p>
    <w:p w14:paraId="475B17B0" w14:textId="7C4E8733" w:rsidR="00797768" w:rsidRDefault="00797768" w:rsidP="00797768">
      <w:pPr>
        <w:pStyle w:val="ListParagraph"/>
        <w:numPr>
          <w:ilvl w:val="0"/>
          <w:numId w:val="5"/>
        </w:numPr>
      </w:pPr>
      <w:r>
        <w:t>Insurance statement (when required)</w:t>
      </w:r>
    </w:p>
    <w:p w14:paraId="4C88FDA6" w14:textId="77777777" w:rsidR="00797768" w:rsidRDefault="00797768" w:rsidP="00797768">
      <w:pPr>
        <w:rPr>
          <w:u w:val="single"/>
        </w:rPr>
      </w:pPr>
      <w:r>
        <w:rPr>
          <w:u w:val="single"/>
        </w:rPr>
        <w:t xml:space="preserve"> </w:t>
      </w:r>
    </w:p>
    <w:p w14:paraId="3E77AA0A" w14:textId="77777777" w:rsidR="00797768" w:rsidRDefault="00797768" w:rsidP="00797768">
      <w:pPr>
        <w:rPr>
          <w:u w:val="single"/>
        </w:rPr>
      </w:pPr>
    </w:p>
    <w:p w14:paraId="0FC30838" w14:textId="77777777" w:rsidR="00797768" w:rsidRPr="00A9025B" w:rsidRDefault="00797768" w:rsidP="00797768">
      <w:pPr>
        <w:rPr>
          <w:u w:val="single"/>
        </w:rPr>
      </w:pPr>
      <w:r w:rsidRPr="00A9025B">
        <w:rPr>
          <w:u w:val="single"/>
        </w:rPr>
        <w:t>Tips</w:t>
      </w:r>
    </w:p>
    <w:p w14:paraId="68E425FA" w14:textId="77777777" w:rsidR="00797768" w:rsidRDefault="00797768" w:rsidP="00797768">
      <w:pPr>
        <w:pStyle w:val="ListParagraph"/>
        <w:numPr>
          <w:ilvl w:val="0"/>
          <w:numId w:val="6"/>
        </w:numPr>
      </w:pPr>
      <w:r>
        <w:t>When documentation is electronically maintained, write a note-</w:t>
      </w:r>
      <w:proofErr w:type="gramStart"/>
      <w:r>
        <w:t>to file</w:t>
      </w:r>
      <w:proofErr w:type="gramEnd"/>
      <w:r>
        <w:t xml:space="preserve"> indicating the location and who maintains </w:t>
      </w:r>
      <w:proofErr w:type="gramStart"/>
      <w:r>
        <w:t>them</w:t>
      </w:r>
      <w:proofErr w:type="gramEnd"/>
      <w:r>
        <w:t xml:space="preserve"> (include a copy of the note-to-file behind this tab).</w:t>
      </w:r>
    </w:p>
    <w:p w14:paraId="73BE1511" w14:textId="6BA5AF81" w:rsidR="00797768" w:rsidRDefault="00797768" w:rsidP="00797768">
      <w:r>
        <w:t xml:space="preserve"> </w:t>
      </w:r>
    </w:p>
    <w:p w14:paraId="265A581A" w14:textId="77777777" w:rsidR="00797768" w:rsidRDefault="00797768" w:rsidP="00797768"/>
    <w:p w14:paraId="6390E726" w14:textId="77777777" w:rsidR="00797768" w:rsidRDefault="00797768" w:rsidP="00797768"/>
    <w:p w14:paraId="5E3B1F5D" w14:textId="77777777" w:rsidR="00797768" w:rsidRDefault="00797768" w:rsidP="00797768"/>
    <w:p w14:paraId="1D2F2C19" w14:textId="77777777" w:rsidR="00797768" w:rsidRDefault="00797768" w:rsidP="00797768">
      <w:pPr>
        <w:pBdr>
          <w:bottom w:val="single" w:sz="4" w:space="1" w:color="4472C4" w:themeColor="accent1"/>
        </w:pBdr>
      </w:pPr>
      <w:r>
        <w:t>Federal Regulations/Good Clinical Practice</w:t>
      </w:r>
    </w:p>
    <w:p w14:paraId="72FD5093" w14:textId="33559849" w:rsidR="00797768" w:rsidRDefault="00797768" w:rsidP="00797768">
      <w:r>
        <w:t>GCP: 8.3.11</w:t>
      </w:r>
    </w:p>
    <w:p w14:paraId="6D3E4A7B" w14:textId="09BC46B3" w:rsidR="00A36101" w:rsidRDefault="00A36101">
      <w:r>
        <w:br w:type="page"/>
      </w:r>
    </w:p>
    <w:p w14:paraId="355F44D9" w14:textId="0FEA4B2C" w:rsidR="00A36101" w:rsidRPr="00A9025B" w:rsidRDefault="00A36101" w:rsidP="00A36101">
      <w:pPr>
        <w:pBdr>
          <w:bottom w:val="single" w:sz="4" w:space="1" w:color="4472C4" w:themeColor="accent1"/>
        </w:pBdr>
        <w:rPr>
          <w:sz w:val="40"/>
          <w:szCs w:val="40"/>
        </w:rPr>
      </w:pPr>
      <w:bookmarkStart w:id="0" w:name="_Hlk169021309"/>
      <w:r>
        <w:rPr>
          <w:sz w:val="40"/>
          <w:szCs w:val="40"/>
        </w:rPr>
        <w:lastRenderedPageBreak/>
        <w:t>NIH</w:t>
      </w:r>
    </w:p>
    <w:p w14:paraId="22E0F65A" w14:textId="77777777" w:rsidR="00A36101" w:rsidRPr="00A9025B" w:rsidRDefault="00A36101" w:rsidP="00A36101">
      <w:pPr>
        <w:rPr>
          <w:u w:val="single"/>
        </w:rPr>
      </w:pPr>
      <w:r>
        <w:rPr>
          <w:u w:val="single"/>
        </w:rPr>
        <w:t>Requirements</w:t>
      </w:r>
    </w:p>
    <w:p w14:paraId="2B57930B" w14:textId="42F0AFED" w:rsidR="00A36101" w:rsidRDefault="00A36101" w:rsidP="00A36101">
      <w:pPr>
        <w:pStyle w:val="ListParagraph"/>
        <w:numPr>
          <w:ilvl w:val="0"/>
          <w:numId w:val="5"/>
        </w:numPr>
      </w:pPr>
      <w:r>
        <w:t>NIH Grant application and progress report(s)</w:t>
      </w:r>
    </w:p>
    <w:p w14:paraId="79E5628E" w14:textId="444D846C" w:rsidR="00A36101" w:rsidRDefault="00A36101" w:rsidP="00A36101">
      <w:pPr>
        <w:pStyle w:val="ListParagraph"/>
        <w:numPr>
          <w:ilvl w:val="0"/>
          <w:numId w:val="5"/>
        </w:numPr>
      </w:pPr>
      <w:r>
        <w:t>Additional study correspondence (e.g., emails with the NIH and collaborators)</w:t>
      </w:r>
    </w:p>
    <w:p w14:paraId="59B0D740" w14:textId="77777777" w:rsidR="00A36101" w:rsidRDefault="00A36101" w:rsidP="00A36101">
      <w:pPr>
        <w:rPr>
          <w:u w:val="single"/>
        </w:rPr>
      </w:pPr>
      <w:r>
        <w:rPr>
          <w:u w:val="single"/>
        </w:rPr>
        <w:t xml:space="preserve"> </w:t>
      </w:r>
    </w:p>
    <w:p w14:paraId="703E8C50" w14:textId="77777777" w:rsidR="00A36101" w:rsidRDefault="00A36101" w:rsidP="00A36101">
      <w:pPr>
        <w:rPr>
          <w:u w:val="single"/>
        </w:rPr>
      </w:pPr>
    </w:p>
    <w:p w14:paraId="2A99BFA4" w14:textId="77777777" w:rsidR="00A36101" w:rsidRPr="00A9025B" w:rsidRDefault="00A36101" w:rsidP="00A36101">
      <w:pPr>
        <w:rPr>
          <w:u w:val="single"/>
        </w:rPr>
      </w:pPr>
      <w:r w:rsidRPr="00A9025B">
        <w:rPr>
          <w:u w:val="single"/>
        </w:rPr>
        <w:t>Tips</w:t>
      </w:r>
    </w:p>
    <w:p w14:paraId="6759C3AD" w14:textId="67C6A260" w:rsidR="00A36101" w:rsidRDefault="00A36101" w:rsidP="00A36101">
      <w:pPr>
        <w:pStyle w:val="ListParagraph"/>
        <w:numPr>
          <w:ilvl w:val="0"/>
          <w:numId w:val="6"/>
        </w:numPr>
      </w:pPr>
      <w:r>
        <w:t>Submit the most recent progress report to the IRB at the time of continuing review</w:t>
      </w:r>
    </w:p>
    <w:p w14:paraId="2145A34C" w14:textId="091A7A4B" w:rsidR="00A36101" w:rsidRDefault="00A36101" w:rsidP="00A36101">
      <w:pPr>
        <w:pStyle w:val="ListParagraph"/>
      </w:pPr>
    </w:p>
    <w:p w14:paraId="07965E33" w14:textId="77777777" w:rsidR="00A36101" w:rsidRDefault="00A36101" w:rsidP="00A36101"/>
    <w:p w14:paraId="2EA877DC" w14:textId="77777777" w:rsidR="00A36101" w:rsidRDefault="00A36101" w:rsidP="00A36101"/>
    <w:p w14:paraId="100B08A5" w14:textId="77777777" w:rsidR="00A36101" w:rsidRDefault="00A36101" w:rsidP="00A36101">
      <w:pPr>
        <w:pBdr>
          <w:bottom w:val="single" w:sz="4" w:space="1" w:color="4472C4" w:themeColor="accent1"/>
        </w:pBdr>
      </w:pPr>
      <w:r>
        <w:t>Federal Regulations/Good Clinical Practice</w:t>
      </w:r>
    </w:p>
    <w:p w14:paraId="3A49C8FE" w14:textId="0DA7B15A" w:rsidR="00A36101" w:rsidRDefault="00A36101" w:rsidP="00A36101">
      <w:r>
        <w:t>GCP: 8.3.11</w:t>
      </w:r>
    </w:p>
    <w:bookmarkEnd w:id="0"/>
    <w:p w14:paraId="6A3387FE" w14:textId="55F51089" w:rsidR="00A36101" w:rsidRDefault="00A36101">
      <w:r>
        <w:br w:type="page"/>
      </w:r>
    </w:p>
    <w:p w14:paraId="466DCDA0" w14:textId="03B5D4E5" w:rsidR="00A36101" w:rsidRPr="00A9025B" w:rsidRDefault="00A36101" w:rsidP="00A36101">
      <w:pPr>
        <w:pBdr>
          <w:bottom w:val="single" w:sz="4" w:space="1" w:color="4472C4" w:themeColor="accent1"/>
        </w:pBdr>
        <w:rPr>
          <w:sz w:val="40"/>
          <w:szCs w:val="40"/>
        </w:rPr>
      </w:pPr>
      <w:r>
        <w:rPr>
          <w:sz w:val="40"/>
          <w:szCs w:val="40"/>
        </w:rPr>
        <w:lastRenderedPageBreak/>
        <w:t>FDA</w:t>
      </w:r>
      <w:r w:rsidR="000D1CA1">
        <w:rPr>
          <w:sz w:val="40"/>
          <w:szCs w:val="40"/>
        </w:rPr>
        <w:t xml:space="preserve"> Documents</w:t>
      </w:r>
    </w:p>
    <w:p w14:paraId="7D765760" w14:textId="4C20B880" w:rsidR="00A36101" w:rsidRPr="00A9025B" w:rsidRDefault="00A36101" w:rsidP="00A36101">
      <w:pPr>
        <w:rPr>
          <w:u w:val="single"/>
        </w:rPr>
      </w:pPr>
      <w:r>
        <w:rPr>
          <w:u w:val="single"/>
        </w:rPr>
        <w:t>Requirement</w:t>
      </w:r>
      <w:r>
        <w:rPr>
          <w:u w:val="single"/>
        </w:rPr>
        <w:br/>
      </w:r>
      <w:r>
        <w:rPr>
          <w:u w:val="single"/>
        </w:rPr>
        <w:br/>
        <w:t>Sponsor-Investigator:</w:t>
      </w:r>
    </w:p>
    <w:p w14:paraId="691F7566" w14:textId="2EC8F081" w:rsidR="00A36101" w:rsidRPr="00A36101" w:rsidRDefault="00A36101" w:rsidP="00A36101">
      <w:pPr>
        <w:pStyle w:val="ListParagraph"/>
        <w:numPr>
          <w:ilvl w:val="0"/>
          <w:numId w:val="5"/>
        </w:numPr>
      </w:pPr>
      <w:r w:rsidRPr="00A36101">
        <w:t>All Form FDA 1571 submitted to the FDA, initial IND or Application</w:t>
      </w:r>
    </w:p>
    <w:p w14:paraId="76E7C6F5" w14:textId="359E9800" w:rsidR="00A36101" w:rsidRPr="00A36101" w:rsidRDefault="00A36101" w:rsidP="00A36101">
      <w:pPr>
        <w:pStyle w:val="ListParagraph"/>
        <w:numPr>
          <w:ilvl w:val="0"/>
          <w:numId w:val="5"/>
        </w:numPr>
      </w:pPr>
      <w:r w:rsidRPr="00A36101">
        <w:t>Amendments to the Application</w:t>
      </w:r>
    </w:p>
    <w:p w14:paraId="34C89D57" w14:textId="5BCB9B73" w:rsidR="00A36101" w:rsidRPr="00A36101" w:rsidRDefault="00A36101" w:rsidP="00A36101">
      <w:pPr>
        <w:pStyle w:val="ListParagraph"/>
        <w:numPr>
          <w:ilvl w:val="0"/>
          <w:numId w:val="5"/>
        </w:numPr>
      </w:pPr>
      <w:r w:rsidRPr="00A36101">
        <w:t>Adverse Events Reports</w:t>
      </w:r>
    </w:p>
    <w:p w14:paraId="0F48E1A8" w14:textId="77777777" w:rsidR="00A36101" w:rsidRPr="00A36101" w:rsidRDefault="00A36101" w:rsidP="00A36101">
      <w:pPr>
        <w:pStyle w:val="ListParagraph"/>
        <w:numPr>
          <w:ilvl w:val="0"/>
          <w:numId w:val="5"/>
        </w:numPr>
      </w:pPr>
      <w:r w:rsidRPr="00A36101">
        <w:t xml:space="preserve"> Annual Progress Reports</w:t>
      </w:r>
    </w:p>
    <w:p w14:paraId="4E0DD4AF" w14:textId="7A05B5B5" w:rsidR="00A36101" w:rsidRPr="00A36101" w:rsidRDefault="00A36101" w:rsidP="00A36101">
      <w:pPr>
        <w:pStyle w:val="ListParagraph"/>
        <w:numPr>
          <w:ilvl w:val="0"/>
          <w:numId w:val="5"/>
        </w:numPr>
      </w:pPr>
      <w:r w:rsidRPr="00A36101">
        <w:t xml:space="preserve"> </w:t>
      </w:r>
      <w:proofErr w:type="gramStart"/>
      <w:r w:rsidRPr="00A36101">
        <w:t>Form</w:t>
      </w:r>
      <w:proofErr w:type="gramEnd"/>
      <w:r w:rsidRPr="00A36101">
        <w:t xml:space="preserve"> 3674, certification of registration to ClinicalTrials.gov</w:t>
      </w:r>
    </w:p>
    <w:p w14:paraId="7D8207D0" w14:textId="2B695F63" w:rsidR="00A36101" w:rsidRPr="00A9025B" w:rsidRDefault="00A36101" w:rsidP="00A36101">
      <w:pPr>
        <w:rPr>
          <w:u w:val="single"/>
        </w:rPr>
      </w:pPr>
      <w:r>
        <w:rPr>
          <w:u w:val="single"/>
        </w:rPr>
        <w:t>Clinical Investigator:</w:t>
      </w:r>
    </w:p>
    <w:p w14:paraId="438B8D33" w14:textId="77777777" w:rsidR="00A36101" w:rsidRDefault="00A36101" w:rsidP="00A36101">
      <w:pPr>
        <w:pStyle w:val="ListParagraph"/>
        <w:numPr>
          <w:ilvl w:val="0"/>
          <w:numId w:val="19"/>
        </w:numPr>
      </w:pPr>
      <w:r>
        <w:t>All versions of Form FDA 1572 (for investigational drugs)</w:t>
      </w:r>
    </w:p>
    <w:p w14:paraId="5BB4C2E7" w14:textId="2FA8DEC8" w:rsidR="00A36101" w:rsidRDefault="00A36101" w:rsidP="00A36101">
      <w:pPr>
        <w:pStyle w:val="ListParagraph"/>
        <w:numPr>
          <w:ilvl w:val="0"/>
          <w:numId w:val="19"/>
        </w:numPr>
      </w:pPr>
      <w:r>
        <w:t>All versions of Investigator Agreement (for investigational devices)</w:t>
      </w:r>
    </w:p>
    <w:p w14:paraId="40A60EE8" w14:textId="662D6E7B" w:rsidR="00A36101" w:rsidRDefault="00A36101" w:rsidP="00A36101">
      <w:pPr>
        <w:pStyle w:val="ListParagraph"/>
        <w:numPr>
          <w:ilvl w:val="0"/>
          <w:numId w:val="19"/>
        </w:numPr>
      </w:pPr>
      <w:r>
        <w:t>All Safety Reports submitted to the FDA</w:t>
      </w:r>
    </w:p>
    <w:p w14:paraId="3D969ED7" w14:textId="65521883" w:rsidR="00A36101" w:rsidRDefault="00A36101" w:rsidP="00A36101">
      <w:pPr>
        <w:pStyle w:val="ListParagraph"/>
        <w:numPr>
          <w:ilvl w:val="0"/>
          <w:numId w:val="19"/>
        </w:numPr>
      </w:pPr>
      <w:r>
        <w:t>Annual Progress Reports</w:t>
      </w:r>
    </w:p>
    <w:p w14:paraId="56587FA9" w14:textId="38899D90" w:rsidR="00A36101" w:rsidRDefault="00A36101" w:rsidP="00A36101">
      <w:pPr>
        <w:pStyle w:val="ListParagraph"/>
        <w:numPr>
          <w:ilvl w:val="0"/>
          <w:numId w:val="19"/>
        </w:numPr>
      </w:pPr>
      <w:proofErr w:type="gramStart"/>
      <w:r>
        <w:t>Form</w:t>
      </w:r>
      <w:proofErr w:type="gramEnd"/>
      <w:r>
        <w:t xml:space="preserve"> 3674, certification of registration to ClinicalTrials.gov</w:t>
      </w:r>
    </w:p>
    <w:p w14:paraId="1C266345" w14:textId="1CF75CF1" w:rsidR="00A36101" w:rsidRDefault="00A36101" w:rsidP="00A36101">
      <w:pPr>
        <w:pStyle w:val="ListParagraph"/>
        <w:numPr>
          <w:ilvl w:val="0"/>
          <w:numId w:val="19"/>
        </w:numPr>
      </w:pPr>
      <w:r>
        <w:t>Copy of local ethical approval notices (e.g., external IRB, Ethical Review Board, or</w:t>
      </w:r>
    </w:p>
    <w:p w14:paraId="03A5207C" w14:textId="07BAFEA0" w:rsidR="00A36101" w:rsidRPr="00A36101" w:rsidRDefault="00A36101" w:rsidP="00A36101">
      <w:pPr>
        <w:pStyle w:val="ListParagraph"/>
        <w:numPr>
          <w:ilvl w:val="0"/>
          <w:numId w:val="19"/>
        </w:numPr>
        <w:rPr>
          <w:u w:val="single"/>
        </w:rPr>
      </w:pPr>
      <w:r>
        <w:t>Community Advisory Board (</w:t>
      </w:r>
      <w:proofErr w:type="gramStart"/>
      <w:r>
        <w:t>CAB))</w:t>
      </w:r>
      <w:proofErr w:type="gramEnd"/>
    </w:p>
    <w:p w14:paraId="55B07C23" w14:textId="133A4CFE" w:rsidR="00A36101" w:rsidRPr="00A9025B" w:rsidRDefault="00A36101" w:rsidP="00A36101">
      <w:pPr>
        <w:rPr>
          <w:u w:val="single"/>
        </w:rPr>
      </w:pPr>
      <w:r>
        <w:rPr>
          <w:u w:val="single"/>
        </w:rPr>
        <w:t>Financial Disclosure:</w:t>
      </w:r>
    </w:p>
    <w:p w14:paraId="6E971BDC" w14:textId="4DD73DB1" w:rsidR="00A36101" w:rsidRDefault="00A36101" w:rsidP="00A36101">
      <w:pPr>
        <w:pStyle w:val="ListParagraph"/>
        <w:numPr>
          <w:ilvl w:val="0"/>
          <w:numId w:val="19"/>
        </w:numPr>
      </w:pPr>
      <w:r>
        <w:t>Signed and dated copy of all Form FDA 3455 (Disclosure: Financial Interests and Arrangements of Clinical Investigators)</w:t>
      </w:r>
    </w:p>
    <w:p w14:paraId="70DBDF87" w14:textId="3EF71190" w:rsidR="00A36101" w:rsidRPr="00A9025B" w:rsidRDefault="00A36101" w:rsidP="00A36101">
      <w:pPr>
        <w:rPr>
          <w:u w:val="single"/>
        </w:rPr>
      </w:pPr>
      <w:r w:rsidRPr="00A9025B">
        <w:rPr>
          <w:u w:val="single"/>
        </w:rPr>
        <w:t>Tips</w:t>
      </w:r>
    </w:p>
    <w:p w14:paraId="1AD784FC" w14:textId="77777777" w:rsidR="00A36101" w:rsidRDefault="00A36101" w:rsidP="00A36101">
      <w:pPr>
        <w:pStyle w:val="ListParagraph"/>
        <w:numPr>
          <w:ilvl w:val="0"/>
          <w:numId w:val="6"/>
        </w:numPr>
      </w:pPr>
      <w:proofErr w:type="gramStart"/>
      <w:r>
        <w:t>Form FDA</w:t>
      </w:r>
      <w:proofErr w:type="gramEnd"/>
      <w:r>
        <w:t xml:space="preserve"> 1571 should be used as the cover sheet for all correspondence sent to the FDA.</w:t>
      </w:r>
    </w:p>
    <w:p w14:paraId="591570A4" w14:textId="3B507822" w:rsidR="00A36101" w:rsidRDefault="00A36101" w:rsidP="00A36101">
      <w:pPr>
        <w:pStyle w:val="ListParagraph"/>
        <w:numPr>
          <w:ilvl w:val="0"/>
          <w:numId w:val="6"/>
        </w:numPr>
      </w:pPr>
      <w:proofErr w:type="gramStart"/>
      <w:r>
        <w:t>Form FDA</w:t>
      </w:r>
      <w:proofErr w:type="gramEnd"/>
      <w:r>
        <w:t xml:space="preserve"> 1572 should be updated each time there is a change to any of the information</w:t>
      </w:r>
    </w:p>
    <w:p w14:paraId="268F2D27" w14:textId="77777777" w:rsidR="00A36101" w:rsidRDefault="00A36101" w:rsidP="00A36101">
      <w:pPr>
        <w:pStyle w:val="ListParagraph"/>
      </w:pPr>
      <w:r>
        <w:t>originally provided. Notify the sponsor of any updates.</w:t>
      </w:r>
    </w:p>
    <w:p w14:paraId="5DC40862" w14:textId="191D760A" w:rsidR="00A36101" w:rsidRDefault="00A36101" w:rsidP="00A36101">
      <w:pPr>
        <w:pStyle w:val="ListParagraph"/>
        <w:numPr>
          <w:ilvl w:val="0"/>
          <w:numId w:val="6"/>
        </w:numPr>
      </w:pPr>
      <w:r>
        <w:t xml:space="preserve"> FDA Forms and instructions can be accessed at</w:t>
      </w:r>
    </w:p>
    <w:p w14:paraId="18E32C60" w14:textId="372EF509" w:rsidR="00A36101" w:rsidRDefault="00A36101" w:rsidP="00A36101">
      <w:pPr>
        <w:pStyle w:val="ListParagraph"/>
      </w:pPr>
      <w:hyperlink r:id="rId17" w:history="1">
        <w:r w:rsidRPr="00455327">
          <w:rPr>
            <w:rStyle w:val="Hyperlink"/>
          </w:rPr>
          <w:t>https://www.fda.gov/aboutfda/reportsmanualsforms/forms/default.htm</w:t>
        </w:r>
      </w:hyperlink>
    </w:p>
    <w:p w14:paraId="3621695B" w14:textId="54095763" w:rsidR="00A36101" w:rsidRDefault="00A36101" w:rsidP="00A36101">
      <w:pPr>
        <w:pStyle w:val="ListParagraph"/>
        <w:numPr>
          <w:ilvl w:val="0"/>
          <w:numId w:val="6"/>
        </w:numPr>
      </w:pPr>
      <w:r>
        <w:t>When documentation is electronically maintained, write a note-</w:t>
      </w:r>
      <w:proofErr w:type="gramStart"/>
      <w:r>
        <w:t>to file</w:t>
      </w:r>
      <w:proofErr w:type="gramEnd"/>
      <w:r>
        <w:t xml:space="preserve"> indicating the location and who maintains </w:t>
      </w:r>
      <w:proofErr w:type="gramStart"/>
      <w:r>
        <w:t>them</w:t>
      </w:r>
      <w:proofErr w:type="gramEnd"/>
      <w:r>
        <w:t xml:space="preserve"> (include a copy of the note-to-file behind this tab).</w:t>
      </w:r>
    </w:p>
    <w:p w14:paraId="26E9347D" w14:textId="38E17C1D" w:rsidR="00896E5F" w:rsidRDefault="00896E5F" w:rsidP="00A36101">
      <w:pPr>
        <w:pStyle w:val="ListParagraph"/>
        <w:numPr>
          <w:ilvl w:val="0"/>
          <w:numId w:val="6"/>
        </w:numPr>
      </w:pPr>
      <w:r>
        <w:t xml:space="preserve">Safety reports </w:t>
      </w:r>
      <w:r w:rsidR="00817DD2">
        <w:t>–</w:t>
      </w:r>
      <w:r>
        <w:t xml:space="preserve"> </w:t>
      </w:r>
      <w:r w:rsidR="00817DD2">
        <w:t xml:space="preserve">all reports submitted by the sponsor should be stored in the regulatory binder, </w:t>
      </w:r>
      <w:r w:rsidR="005C4011">
        <w:t>submitted to the IRB and show documentation of PI review.</w:t>
      </w:r>
      <w:r w:rsidR="00817DD2">
        <w:t xml:space="preserve"> </w:t>
      </w:r>
    </w:p>
    <w:p w14:paraId="71DEF36F" w14:textId="77777777" w:rsidR="005C4011" w:rsidRDefault="005C4011" w:rsidP="00A36101">
      <w:pPr>
        <w:pBdr>
          <w:bottom w:val="single" w:sz="4" w:space="1" w:color="4472C4" w:themeColor="accent1"/>
        </w:pBdr>
      </w:pPr>
    </w:p>
    <w:p w14:paraId="132F1184" w14:textId="27F80B87" w:rsidR="00A36101" w:rsidRDefault="00A36101" w:rsidP="00A36101">
      <w:pPr>
        <w:pBdr>
          <w:bottom w:val="single" w:sz="4" w:space="1" w:color="4472C4" w:themeColor="accent1"/>
        </w:pBdr>
      </w:pPr>
      <w:r>
        <w:t>Federal Regulations/Good Clinical Practice</w:t>
      </w:r>
    </w:p>
    <w:p w14:paraId="7ADFA5D1" w14:textId="77777777" w:rsidR="00A36101" w:rsidRDefault="00A36101" w:rsidP="00A36101">
      <w:r>
        <w:t>FDA: 21 CFR §54; 21 CFR §312.30; 21 CFR §312.32; 21 CFR §312.33;</w:t>
      </w:r>
    </w:p>
    <w:p w14:paraId="70E94945" w14:textId="77777777" w:rsidR="00A36101" w:rsidRDefault="00A36101" w:rsidP="00A36101">
      <w:r>
        <w:t>21 CFR §812.150(b)(1); 21 CFR §812.150(b)(5); 21 CFR §812.35; 21 CFR §812.43(c)</w:t>
      </w:r>
    </w:p>
    <w:p w14:paraId="35883BE0" w14:textId="40ACD021" w:rsidR="00A36101" w:rsidRDefault="00A36101" w:rsidP="00A36101">
      <w:r>
        <w:t>GCP: 4.11; 5.16.2; 5.17.1; 8.3.16; 8.3.17; 8.3.18; 8.3.19</w:t>
      </w:r>
    </w:p>
    <w:p w14:paraId="3BB09842" w14:textId="20F70D69" w:rsidR="00A36101" w:rsidRDefault="00A36101">
      <w:r>
        <w:br w:type="page"/>
      </w:r>
    </w:p>
    <w:p w14:paraId="6FCB9BF7" w14:textId="0AFE71EE" w:rsidR="00943068" w:rsidRPr="00A9025B" w:rsidRDefault="00943068" w:rsidP="00943068">
      <w:pPr>
        <w:pBdr>
          <w:bottom w:val="single" w:sz="4" w:space="1" w:color="4472C4" w:themeColor="accent1"/>
        </w:pBdr>
        <w:rPr>
          <w:sz w:val="40"/>
          <w:szCs w:val="40"/>
        </w:rPr>
      </w:pPr>
      <w:r>
        <w:rPr>
          <w:sz w:val="40"/>
          <w:szCs w:val="40"/>
        </w:rPr>
        <w:lastRenderedPageBreak/>
        <w:t>External / Local Ethical Review</w:t>
      </w:r>
    </w:p>
    <w:p w14:paraId="712B42AC" w14:textId="238C8A09" w:rsidR="00943068" w:rsidRPr="00A9025B" w:rsidRDefault="00943068" w:rsidP="00943068">
      <w:pPr>
        <w:rPr>
          <w:u w:val="single"/>
        </w:rPr>
      </w:pPr>
      <w:r>
        <w:rPr>
          <w:u w:val="single"/>
        </w:rPr>
        <w:t>Requirement</w:t>
      </w:r>
    </w:p>
    <w:p w14:paraId="3EBA1B12" w14:textId="4253CA81" w:rsidR="00943068" w:rsidRDefault="00943068" w:rsidP="00943068">
      <w:pPr>
        <w:pStyle w:val="ListParagraph"/>
        <w:numPr>
          <w:ilvl w:val="0"/>
          <w:numId w:val="5"/>
        </w:numPr>
      </w:pPr>
      <w:r>
        <w:t>Copy of local ethical approval notices (e.g., external IRB, Ethical Review Board, or Community Advisory Board))</w:t>
      </w:r>
    </w:p>
    <w:p w14:paraId="04AD49EC" w14:textId="77777777" w:rsidR="00943068" w:rsidRDefault="00943068" w:rsidP="00943068">
      <w:pPr>
        <w:rPr>
          <w:u w:val="single"/>
        </w:rPr>
      </w:pPr>
      <w:r>
        <w:rPr>
          <w:u w:val="single"/>
        </w:rPr>
        <w:t xml:space="preserve"> </w:t>
      </w:r>
    </w:p>
    <w:p w14:paraId="06F9A80C" w14:textId="77777777" w:rsidR="00943068" w:rsidRDefault="00943068" w:rsidP="00943068">
      <w:pPr>
        <w:rPr>
          <w:u w:val="single"/>
        </w:rPr>
      </w:pPr>
    </w:p>
    <w:p w14:paraId="32B08883" w14:textId="77777777" w:rsidR="00943068" w:rsidRPr="00A9025B" w:rsidRDefault="00943068" w:rsidP="00943068">
      <w:pPr>
        <w:rPr>
          <w:u w:val="single"/>
        </w:rPr>
      </w:pPr>
      <w:r w:rsidRPr="00A9025B">
        <w:rPr>
          <w:u w:val="single"/>
        </w:rPr>
        <w:t>Tips</w:t>
      </w:r>
    </w:p>
    <w:p w14:paraId="72404D1C" w14:textId="01DD8327" w:rsidR="002F10ED" w:rsidRDefault="002F10ED" w:rsidP="002F10ED">
      <w:pPr>
        <w:pStyle w:val="ListParagraph"/>
        <w:numPr>
          <w:ilvl w:val="0"/>
          <w:numId w:val="6"/>
        </w:numPr>
      </w:pPr>
      <w:r>
        <w:t>It is insufficient for a U.S.-based institution to approve non-exempt human research conducted abroad if applicable law requires local review.</w:t>
      </w:r>
    </w:p>
    <w:p w14:paraId="1EE7EA84" w14:textId="7F2589D2" w:rsidR="002F10ED" w:rsidRDefault="002F10ED" w:rsidP="002F10ED">
      <w:pPr>
        <w:pStyle w:val="ListParagraph"/>
        <w:numPr>
          <w:ilvl w:val="0"/>
          <w:numId w:val="6"/>
        </w:numPr>
      </w:pPr>
      <w:r>
        <w:t>Local IRB/ethical review documents and correspondence should be on file and accessible to the PI, even if they are not maintained within a regulatory binder.</w:t>
      </w:r>
    </w:p>
    <w:p w14:paraId="18CFD222" w14:textId="46037693" w:rsidR="002F10ED" w:rsidRDefault="002F10ED" w:rsidP="002F10ED">
      <w:pPr>
        <w:pStyle w:val="ListParagraph"/>
        <w:numPr>
          <w:ilvl w:val="0"/>
          <w:numId w:val="6"/>
        </w:numPr>
      </w:pPr>
      <w:r>
        <w:t>For HHS-funded protocols:</w:t>
      </w:r>
    </w:p>
    <w:p w14:paraId="2DB303E7" w14:textId="1F526FCF" w:rsidR="002F10ED" w:rsidRDefault="002F10ED" w:rsidP="00C650E9">
      <w:pPr>
        <w:pStyle w:val="ListParagraph"/>
        <w:numPr>
          <w:ilvl w:val="1"/>
          <w:numId w:val="20"/>
        </w:numPr>
      </w:pPr>
      <w:r>
        <w:t>Review should be done by the IRB of the collaborating institution or that of</w:t>
      </w:r>
      <w:r w:rsidR="00C650E9">
        <w:t xml:space="preserve"> </w:t>
      </w:r>
      <w:r>
        <w:t>another institution in the same geographical area.</w:t>
      </w:r>
    </w:p>
    <w:p w14:paraId="4C4717A2" w14:textId="07C4A9BD" w:rsidR="002F10ED" w:rsidRDefault="002F10ED" w:rsidP="00C650E9">
      <w:pPr>
        <w:pStyle w:val="ListParagraph"/>
        <w:numPr>
          <w:ilvl w:val="1"/>
          <w:numId w:val="20"/>
        </w:numPr>
      </w:pPr>
      <w:r>
        <w:t>The local IRB must be registered with OHRP and have an FWA (check online at</w:t>
      </w:r>
      <w:r w:rsidR="00C650E9">
        <w:t xml:space="preserve"> </w:t>
      </w:r>
      <w:r>
        <w:t>http://ohrp.cit.nih.gov/search/).</w:t>
      </w:r>
    </w:p>
    <w:p w14:paraId="5E628E1F" w14:textId="1CA70842" w:rsidR="002F10ED" w:rsidRDefault="002F10ED" w:rsidP="002F10ED">
      <w:pPr>
        <w:pStyle w:val="ListParagraph"/>
        <w:numPr>
          <w:ilvl w:val="0"/>
          <w:numId w:val="6"/>
        </w:numPr>
      </w:pPr>
      <w:r>
        <w:t xml:space="preserve">For </w:t>
      </w:r>
      <w:proofErr w:type="gramStart"/>
      <w:r>
        <w:t>non HHS</w:t>
      </w:r>
      <w:proofErr w:type="gramEnd"/>
      <w:r>
        <w:t>-funded protocols:</w:t>
      </w:r>
    </w:p>
    <w:p w14:paraId="63AD9B88" w14:textId="63CF0DA8" w:rsidR="005852C6" w:rsidRDefault="002F10ED" w:rsidP="005852C6">
      <w:pPr>
        <w:pStyle w:val="ListParagraph"/>
        <w:numPr>
          <w:ilvl w:val="0"/>
          <w:numId w:val="21"/>
        </w:numPr>
      </w:pPr>
      <w:r>
        <w:t>Review should be done by a local IRB/ethical review board or</w:t>
      </w:r>
      <w:r w:rsidR="005852C6">
        <w:t xml:space="preserve"> </w:t>
      </w:r>
      <w:r>
        <w:t>Community Advisory Board</w:t>
      </w:r>
    </w:p>
    <w:p w14:paraId="58CFE49B" w14:textId="77777777" w:rsidR="00943068" w:rsidRDefault="00943068" w:rsidP="00943068">
      <w:pPr>
        <w:pStyle w:val="ListParagraph"/>
      </w:pPr>
    </w:p>
    <w:p w14:paraId="3A81E0BB" w14:textId="77777777" w:rsidR="00943068" w:rsidRDefault="00943068" w:rsidP="00943068"/>
    <w:p w14:paraId="7B56ED88" w14:textId="77777777" w:rsidR="00943068" w:rsidRDefault="00943068" w:rsidP="00943068">
      <w:pPr>
        <w:pBdr>
          <w:bottom w:val="single" w:sz="4" w:space="1" w:color="4472C4" w:themeColor="accent1"/>
        </w:pBdr>
      </w:pPr>
      <w:r>
        <w:t>Federal Regulations/Good Clinical Practice</w:t>
      </w:r>
    </w:p>
    <w:p w14:paraId="3833F721" w14:textId="5AD51586" w:rsidR="006C3E01" w:rsidRDefault="006C3E01">
      <w:r>
        <w:br w:type="page"/>
      </w:r>
    </w:p>
    <w:p w14:paraId="7165BADB" w14:textId="7ED9B2BD" w:rsidR="006C3E01" w:rsidRPr="00A9025B" w:rsidRDefault="009976D8" w:rsidP="006C3E01">
      <w:pPr>
        <w:pBdr>
          <w:bottom w:val="single" w:sz="4" w:space="1" w:color="4472C4" w:themeColor="accent1"/>
        </w:pBdr>
        <w:rPr>
          <w:sz w:val="40"/>
          <w:szCs w:val="40"/>
        </w:rPr>
      </w:pPr>
      <w:r>
        <w:rPr>
          <w:sz w:val="40"/>
          <w:szCs w:val="40"/>
        </w:rPr>
        <w:lastRenderedPageBreak/>
        <w:t>D</w:t>
      </w:r>
      <w:r w:rsidR="008F1A2C">
        <w:rPr>
          <w:sz w:val="40"/>
          <w:szCs w:val="40"/>
        </w:rPr>
        <w:t xml:space="preserve">ata </w:t>
      </w:r>
      <w:r>
        <w:rPr>
          <w:sz w:val="40"/>
          <w:szCs w:val="40"/>
        </w:rPr>
        <w:t>S</w:t>
      </w:r>
      <w:r w:rsidR="008F1A2C">
        <w:rPr>
          <w:sz w:val="40"/>
          <w:szCs w:val="40"/>
        </w:rPr>
        <w:t xml:space="preserve">afety </w:t>
      </w:r>
      <w:r>
        <w:rPr>
          <w:sz w:val="40"/>
          <w:szCs w:val="40"/>
        </w:rPr>
        <w:t>M</w:t>
      </w:r>
      <w:r w:rsidR="008F1A2C">
        <w:rPr>
          <w:sz w:val="40"/>
          <w:szCs w:val="40"/>
        </w:rPr>
        <w:t>onitoring Plan / Board (DSMP/DSMB)</w:t>
      </w:r>
    </w:p>
    <w:p w14:paraId="66BE6781" w14:textId="0DD2A620" w:rsidR="006C3E01" w:rsidRPr="00A9025B" w:rsidRDefault="006C3E01" w:rsidP="006C3E01">
      <w:pPr>
        <w:rPr>
          <w:u w:val="single"/>
        </w:rPr>
      </w:pPr>
      <w:r>
        <w:rPr>
          <w:u w:val="single"/>
        </w:rPr>
        <w:t>Requirement</w:t>
      </w:r>
    </w:p>
    <w:p w14:paraId="35A8C0EF" w14:textId="77777777" w:rsidR="008F1A2C" w:rsidRDefault="008F1A2C" w:rsidP="009976D8">
      <w:pPr>
        <w:pStyle w:val="ListParagraph"/>
        <w:numPr>
          <w:ilvl w:val="0"/>
          <w:numId w:val="22"/>
        </w:numPr>
      </w:pPr>
      <w:r>
        <w:t>Copy of Data Safety Monitoring Plan (Appendix B), if applicable</w:t>
      </w:r>
    </w:p>
    <w:p w14:paraId="4ECB9343" w14:textId="0836B41F" w:rsidR="009976D8" w:rsidRDefault="009976D8" w:rsidP="009976D8">
      <w:pPr>
        <w:pStyle w:val="ListParagraph"/>
        <w:numPr>
          <w:ilvl w:val="0"/>
          <w:numId w:val="22"/>
        </w:numPr>
      </w:pPr>
      <w:r>
        <w:t>Copy of DSMB Charter</w:t>
      </w:r>
    </w:p>
    <w:p w14:paraId="72DD554B" w14:textId="36B0D091" w:rsidR="009976D8" w:rsidRDefault="009976D8" w:rsidP="009976D8">
      <w:pPr>
        <w:pStyle w:val="ListParagraph"/>
        <w:numPr>
          <w:ilvl w:val="0"/>
          <w:numId w:val="22"/>
        </w:numPr>
      </w:pPr>
      <w:r>
        <w:t>Copy of all DSM</w:t>
      </w:r>
      <w:r w:rsidR="008F1A2C">
        <w:t>P/</w:t>
      </w:r>
      <w:r>
        <w:t>B</w:t>
      </w:r>
      <w:r w:rsidR="008F1A2C">
        <w:t xml:space="preserve"> meeting</w:t>
      </w:r>
      <w:r>
        <w:t xml:space="preserve"> reports</w:t>
      </w:r>
    </w:p>
    <w:p w14:paraId="06BC9A71" w14:textId="66387474" w:rsidR="006C3E01" w:rsidRPr="009976D8" w:rsidRDefault="009976D8" w:rsidP="009976D8">
      <w:pPr>
        <w:pStyle w:val="ListParagraph"/>
        <w:numPr>
          <w:ilvl w:val="0"/>
          <w:numId w:val="22"/>
        </w:numPr>
        <w:rPr>
          <w:u w:val="single"/>
        </w:rPr>
      </w:pPr>
      <w:r>
        <w:t>Additional correspondence (e.g., emails, letters, meeting minutes) with the DSMB and its members</w:t>
      </w:r>
      <w:r w:rsidR="006C3E01" w:rsidRPr="009976D8">
        <w:rPr>
          <w:u w:val="single"/>
        </w:rPr>
        <w:t xml:space="preserve"> </w:t>
      </w:r>
    </w:p>
    <w:p w14:paraId="0C7D968E" w14:textId="77777777" w:rsidR="006C3E01" w:rsidRDefault="006C3E01" w:rsidP="006C3E01">
      <w:pPr>
        <w:rPr>
          <w:u w:val="single"/>
        </w:rPr>
      </w:pPr>
    </w:p>
    <w:p w14:paraId="49056D39" w14:textId="77777777" w:rsidR="006C3E01" w:rsidRPr="00A9025B" w:rsidRDefault="006C3E01" w:rsidP="006C3E01">
      <w:pPr>
        <w:rPr>
          <w:u w:val="single"/>
        </w:rPr>
      </w:pPr>
      <w:r w:rsidRPr="00A9025B">
        <w:rPr>
          <w:u w:val="single"/>
        </w:rPr>
        <w:t>Tips</w:t>
      </w:r>
    </w:p>
    <w:p w14:paraId="703C00EA" w14:textId="1AF8D44A" w:rsidR="006C3E01" w:rsidRDefault="006C3E01" w:rsidP="006C3E01">
      <w:pPr>
        <w:pStyle w:val="ListParagraph"/>
        <w:numPr>
          <w:ilvl w:val="0"/>
          <w:numId w:val="6"/>
        </w:numPr>
      </w:pPr>
      <w:r>
        <w:t xml:space="preserve">Submit </w:t>
      </w:r>
      <w:r w:rsidR="00843F5D">
        <w:t>DSM</w:t>
      </w:r>
      <w:r w:rsidR="008F1A2C">
        <w:t>P or DSM</w:t>
      </w:r>
      <w:r w:rsidR="00843F5D">
        <w:t>B</w:t>
      </w:r>
      <w:r>
        <w:t xml:space="preserve"> report</w:t>
      </w:r>
      <w:r w:rsidR="008F1A2C">
        <w:t>s</w:t>
      </w:r>
      <w:r>
        <w:t xml:space="preserve"> to the IRB at the time of continuing review</w:t>
      </w:r>
    </w:p>
    <w:p w14:paraId="08F398F4" w14:textId="77777777" w:rsidR="006C3E01" w:rsidRDefault="006C3E01" w:rsidP="006C3E01">
      <w:pPr>
        <w:pStyle w:val="ListParagraph"/>
      </w:pPr>
    </w:p>
    <w:p w14:paraId="043F8855" w14:textId="77777777" w:rsidR="006C3E01" w:rsidRDefault="006C3E01" w:rsidP="006C3E01"/>
    <w:p w14:paraId="145DE77E" w14:textId="77777777" w:rsidR="006C3E01" w:rsidRDefault="006C3E01" w:rsidP="006C3E01"/>
    <w:p w14:paraId="7186929B" w14:textId="77777777" w:rsidR="006C3E01" w:rsidRDefault="006C3E01" w:rsidP="006C3E01">
      <w:pPr>
        <w:pBdr>
          <w:bottom w:val="single" w:sz="4" w:space="1" w:color="4472C4" w:themeColor="accent1"/>
        </w:pBdr>
      </w:pPr>
      <w:r>
        <w:t>Federal Regulations/Good Clinical Practice</w:t>
      </w:r>
    </w:p>
    <w:p w14:paraId="52B3293C" w14:textId="7101FC3E" w:rsidR="006C3E01" w:rsidRDefault="006C3E01" w:rsidP="006C3E01">
      <w:r>
        <w:t xml:space="preserve">GCP: </w:t>
      </w:r>
      <w:r w:rsidR="00843F5D">
        <w:t>5.19.3; 8.3.10</w:t>
      </w:r>
    </w:p>
    <w:p w14:paraId="3BA790A5" w14:textId="77777777" w:rsidR="00797768" w:rsidRDefault="00797768" w:rsidP="00797768"/>
    <w:p w14:paraId="7678C0FE" w14:textId="1190BE1F" w:rsidR="00843F5D" w:rsidRDefault="00843F5D">
      <w:r>
        <w:br w:type="page"/>
      </w:r>
    </w:p>
    <w:p w14:paraId="6E1AB730" w14:textId="64180C26" w:rsidR="00843F5D" w:rsidRPr="00A9025B" w:rsidRDefault="00843F5D" w:rsidP="00843F5D">
      <w:pPr>
        <w:pBdr>
          <w:bottom w:val="single" w:sz="4" w:space="1" w:color="4472C4" w:themeColor="accent1"/>
        </w:pBdr>
        <w:rPr>
          <w:sz w:val="40"/>
          <w:szCs w:val="40"/>
        </w:rPr>
      </w:pPr>
      <w:r>
        <w:rPr>
          <w:sz w:val="40"/>
          <w:szCs w:val="40"/>
        </w:rPr>
        <w:lastRenderedPageBreak/>
        <w:t>Licensure</w:t>
      </w:r>
    </w:p>
    <w:p w14:paraId="11F2B03D" w14:textId="77777777" w:rsidR="00843F5D" w:rsidRPr="00A9025B" w:rsidRDefault="00843F5D" w:rsidP="00843F5D">
      <w:pPr>
        <w:rPr>
          <w:u w:val="single"/>
        </w:rPr>
      </w:pPr>
      <w:r>
        <w:rPr>
          <w:u w:val="single"/>
        </w:rPr>
        <w:t>Requirement</w:t>
      </w:r>
    </w:p>
    <w:p w14:paraId="4E8C2E6D" w14:textId="45F45A01" w:rsidR="00843F5D" w:rsidRPr="009976D8" w:rsidRDefault="00843F5D" w:rsidP="00843F5D">
      <w:pPr>
        <w:pStyle w:val="ListParagraph"/>
        <w:numPr>
          <w:ilvl w:val="0"/>
          <w:numId w:val="22"/>
        </w:numPr>
        <w:rPr>
          <w:u w:val="single"/>
        </w:rPr>
      </w:pPr>
      <w:r>
        <w:t xml:space="preserve">Valid </w:t>
      </w:r>
      <w:r w:rsidR="00933C51">
        <w:t xml:space="preserve">(up to date) </w:t>
      </w:r>
      <w:r>
        <w:t>licenses / certifications for all professional study staff (e.g., medical or nursing license)</w:t>
      </w:r>
    </w:p>
    <w:p w14:paraId="72DDEE80" w14:textId="77777777" w:rsidR="00843F5D" w:rsidRDefault="00843F5D" w:rsidP="00843F5D">
      <w:pPr>
        <w:rPr>
          <w:u w:val="single"/>
        </w:rPr>
      </w:pPr>
    </w:p>
    <w:p w14:paraId="47139BB6" w14:textId="77777777" w:rsidR="00843F5D" w:rsidRPr="00A9025B" w:rsidRDefault="00843F5D" w:rsidP="00843F5D">
      <w:pPr>
        <w:rPr>
          <w:u w:val="single"/>
        </w:rPr>
      </w:pPr>
      <w:r w:rsidRPr="00A9025B">
        <w:rPr>
          <w:u w:val="single"/>
        </w:rPr>
        <w:t>Tips</w:t>
      </w:r>
    </w:p>
    <w:p w14:paraId="00437B02" w14:textId="635E6D08" w:rsidR="00A42444" w:rsidRDefault="00A42444" w:rsidP="00A42444">
      <w:pPr>
        <w:pStyle w:val="ListParagraph"/>
        <w:numPr>
          <w:ilvl w:val="0"/>
          <w:numId w:val="23"/>
        </w:numPr>
      </w:pPr>
      <w:r>
        <w:t xml:space="preserve">Licensure </w:t>
      </w:r>
      <w:proofErr w:type="gramStart"/>
      <w:r>
        <w:t>required</w:t>
      </w:r>
      <w:proofErr w:type="gramEnd"/>
      <w:r>
        <w:t xml:space="preserve"> only for study staff utilizing their professional license for study purposes (i.e., if the PI is </w:t>
      </w:r>
      <w:proofErr w:type="gramStart"/>
      <w:r>
        <w:t>and</w:t>
      </w:r>
      <w:proofErr w:type="gramEnd"/>
      <w:r>
        <w:t xml:space="preserve"> MD, there is no need to include license unless s/he is conducting medical testing, procedures, or exams).</w:t>
      </w:r>
    </w:p>
    <w:p w14:paraId="256F4879" w14:textId="77777777" w:rsidR="005F13C9" w:rsidRDefault="005F13C9" w:rsidP="00A42444">
      <w:pPr>
        <w:pStyle w:val="ListParagraph"/>
        <w:numPr>
          <w:ilvl w:val="0"/>
          <w:numId w:val="23"/>
        </w:numPr>
      </w:pPr>
      <w:r>
        <w:t>Licensure must cover the duration for when staff are involved in the study and be valid for the state in which the site is located.</w:t>
      </w:r>
    </w:p>
    <w:p w14:paraId="5A1669E5" w14:textId="6E71F921" w:rsidR="00A42444" w:rsidRDefault="00A42444" w:rsidP="00A42444">
      <w:pPr>
        <w:pStyle w:val="ListParagraph"/>
        <w:numPr>
          <w:ilvl w:val="0"/>
          <w:numId w:val="23"/>
        </w:numPr>
      </w:pPr>
      <w:r>
        <w:t>If documents are maintained electronically, write a signed and dated note-to-file indicating the location and who maintains them (</w:t>
      </w:r>
      <w:proofErr w:type="gramStart"/>
      <w:r>
        <w:t>include</w:t>
      </w:r>
      <w:proofErr w:type="gramEnd"/>
      <w:r>
        <w:t xml:space="preserve"> a copy of the note-to-file behind this tab).</w:t>
      </w:r>
    </w:p>
    <w:p w14:paraId="61F18B2B" w14:textId="7EE27907" w:rsidR="00A42444" w:rsidRDefault="00A42444" w:rsidP="00A42444">
      <w:pPr>
        <w:pStyle w:val="ListParagraph"/>
        <w:numPr>
          <w:ilvl w:val="0"/>
          <w:numId w:val="23"/>
        </w:numPr>
      </w:pPr>
      <w:r>
        <w:t>Licensure renewal dates coincide with birth dates. It is important to monitor licensure</w:t>
      </w:r>
      <w:r w:rsidR="00684917">
        <w:t xml:space="preserve"> </w:t>
      </w:r>
      <w:r>
        <w:t>expiration dates so that those nearing expiration can be promptly updated/replaced.</w:t>
      </w:r>
    </w:p>
    <w:p w14:paraId="2518E4AD" w14:textId="552CC5D2" w:rsidR="00843F5D" w:rsidRDefault="00A42444" w:rsidP="00A42444">
      <w:pPr>
        <w:pStyle w:val="ListParagraph"/>
        <w:numPr>
          <w:ilvl w:val="0"/>
          <w:numId w:val="23"/>
        </w:numPr>
      </w:pPr>
      <w:r>
        <w:t>Professional certification information should be included in individual CVs. The</w:t>
      </w:r>
      <w:r w:rsidR="00684917">
        <w:t xml:space="preserve"> </w:t>
      </w:r>
      <w:r>
        <w:t>frequency with which certification must be renewed varies widely, depending on the</w:t>
      </w:r>
      <w:r w:rsidR="00684917">
        <w:t xml:space="preserve"> </w:t>
      </w:r>
      <w:r>
        <w:t>requirements of the certifying body.</w:t>
      </w:r>
      <w:r>
        <w:cr/>
      </w:r>
    </w:p>
    <w:p w14:paraId="47098D93" w14:textId="77777777" w:rsidR="00843F5D" w:rsidRDefault="00843F5D" w:rsidP="00843F5D"/>
    <w:p w14:paraId="54891A3E" w14:textId="77777777" w:rsidR="00843F5D" w:rsidRDefault="00843F5D" w:rsidP="00843F5D"/>
    <w:p w14:paraId="2AC08E32" w14:textId="77777777" w:rsidR="00843F5D" w:rsidRDefault="00843F5D" w:rsidP="00843F5D">
      <w:pPr>
        <w:pBdr>
          <w:bottom w:val="single" w:sz="4" w:space="1" w:color="4472C4" w:themeColor="accent1"/>
        </w:pBdr>
      </w:pPr>
      <w:r>
        <w:t>Federal Regulations/Good Clinical Practice</w:t>
      </w:r>
    </w:p>
    <w:p w14:paraId="381BED8E" w14:textId="3165F7E6" w:rsidR="00843F5D" w:rsidRDefault="00843F5D" w:rsidP="00843F5D">
      <w:r>
        <w:t xml:space="preserve">GCP: </w:t>
      </w:r>
      <w:r w:rsidR="00645A8D">
        <w:t>4.1.1</w:t>
      </w:r>
    </w:p>
    <w:p w14:paraId="78DA69D3" w14:textId="120AB7CF" w:rsidR="00645A8D" w:rsidRDefault="00645A8D">
      <w:r>
        <w:br w:type="page"/>
      </w:r>
    </w:p>
    <w:p w14:paraId="14AC3C36" w14:textId="048108AD" w:rsidR="00645A8D" w:rsidRPr="00A9025B" w:rsidRDefault="00645A8D" w:rsidP="00645A8D">
      <w:pPr>
        <w:pBdr>
          <w:bottom w:val="single" w:sz="4" w:space="1" w:color="4472C4" w:themeColor="accent1"/>
        </w:pBdr>
        <w:rPr>
          <w:sz w:val="40"/>
          <w:szCs w:val="40"/>
        </w:rPr>
      </w:pPr>
      <w:r>
        <w:rPr>
          <w:sz w:val="40"/>
          <w:szCs w:val="40"/>
        </w:rPr>
        <w:lastRenderedPageBreak/>
        <w:t>Laboratory Documents</w:t>
      </w:r>
    </w:p>
    <w:p w14:paraId="2E8EA0D6" w14:textId="77777777" w:rsidR="00645A8D" w:rsidRPr="00A9025B" w:rsidRDefault="00645A8D" w:rsidP="00645A8D">
      <w:pPr>
        <w:rPr>
          <w:u w:val="single"/>
        </w:rPr>
      </w:pPr>
      <w:r>
        <w:rPr>
          <w:u w:val="single"/>
        </w:rPr>
        <w:t>Requirement</w:t>
      </w:r>
    </w:p>
    <w:p w14:paraId="5F81F4EE" w14:textId="43D4AED3" w:rsidR="00156480" w:rsidRDefault="00156480" w:rsidP="00156480">
      <w:pPr>
        <w:pStyle w:val="ListParagraph"/>
        <w:numPr>
          <w:ilvl w:val="0"/>
          <w:numId w:val="24"/>
        </w:numPr>
      </w:pPr>
      <w:r>
        <w:t>Lab certification</w:t>
      </w:r>
      <w:r w:rsidR="005521DD">
        <w:t xml:space="preserve"> and/or accreditation</w:t>
      </w:r>
      <w:r>
        <w:t xml:space="preserve"> (e.g., CLIA, CAP) and updates for clinical labs that are used for diagnosis, treatment, prevention, and/or assessment</w:t>
      </w:r>
    </w:p>
    <w:p w14:paraId="179E47B3" w14:textId="57FCD9AF" w:rsidR="00156480" w:rsidRDefault="00156480" w:rsidP="00156480">
      <w:pPr>
        <w:pStyle w:val="ListParagraph"/>
        <w:numPr>
          <w:ilvl w:val="0"/>
          <w:numId w:val="24"/>
        </w:numPr>
      </w:pPr>
      <w:r>
        <w:t>Lab Director’s current CV for research labs that will not be reporting any participant-specific results for diagnosis, treatment, prevention, and/or assessment</w:t>
      </w:r>
    </w:p>
    <w:p w14:paraId="34755A85" w14:textId="22852F54" w:rsidR="00156480" w:rsidRDefault="00156480" w:rsidP="000A518F">
      <w:pPr>
        <w:pStyle w:val="ListParagraph"/>
        <w:numPr>
          <w:ilvl w:val="0"/>
          <w:numId w:val="24"/>
        </w:numPr>
      </w:pPr>
      <w:r>
        <w:t>Handling instructions (if not specified in the Investigator’s Brochure, Device Manual, or</w:t>
      </w:r>
      <w:r w:rsidR="000A518F">
        <w:t xml:space="preserve"> </w:t>
      </w:r>
      <w:r>
        <w:t>Package Insert)</w:t>
      </w:r>
    </w:p>
    <w:p w14:paraId="5BFFAC81" w14:textId="59D69933" w:rsidR="00645A8D" w:rsidRPr="00156480" w:rsidRDefault="00156480" w:rsidP="00156480">
      <w:pPr>
        <w:pStyle w:val="ListParagraph"/>
        <w:numPr>
          <w:ilvl w:val="0"/>
          <w:numId w:val="24"/>
        </w:numPr>
        <w:rPr>
          <w:u w:val="single"/>
        </w:rPr>
      </w:pPr>
      <w:r>
        <w:t>Normal lab/reference values and updates for clinical labs</w:t>
      </w:r>
      <w:r>
        <w:cr/>
      </w:r>
    </w:p>
    <w:p w14:paraId="7A89A96D" w14:textId="77777777" w:rsidR="00645A8D" w:rsidRPr="00A9025B" w:rsidRDefault="00645A8D" w:rsidP="00645A8D">
      <w:pPr>
        <w:rPr>
          <w:u w:val="single"/>
        </w:rPr>
      </w:pPr>
      <w:r w:rsidRPr="00A9025B">
        <w:rPr>
          <w:u w:val="single"/>
        </w:rPr>
        <w:t>Tips</w:t>
      </w:r>
    </w:p>
    <w:p w14:paraId="34852178" w14:textId="2DA48FE1" w:rsidR="000A518F" w:rsidRDefault="000A518F" w:rsidP="000A518F">
      <w:pPr>
        <w:pStyle w:val="ListParagraph"/>
        <w:numPr>
          <w:ilvl w:val="0"/>
          <w:numId w:val="25"/>
        </w:numPr>
      </w:pPr>
      <w:r>
        <w:t>Keep updated documents to verify the competency of all lab facilities being utilized, and to support the reliability of test results.</w:t>
      </w:r>
    </w:p>
    <w:p w14:paraId="290871F2" w14:textId="37FACEC8" w:rsidR="00E415C1" w:rsidRDefault="00E415C1" w:rsidP="000A518F">
      <w:pPr>
        <w:pStyle w:val="ListParagraph"/>
        <w:numPr>
          <w:ilvl w:val="0"/>
          <w:numId w:val="25"/>
        </w:numPr>
      </w:pPr>
      <w:r>
        <w:t>Ensure lab accreditation is valid for the duration of the study</w:t>
      </w:r>
      <w:r w:rsidR="00F77798">
        <w:t>, that ranges are on file and current.</w:t>
      </w:r>
    </w:p>
    <w:p w14:paraId="57050C70" w14:textId="296E8128" w:rsidR="00645A8D" w:rsidRDefault="000A518F" w:rsidP="000A518F">
      <w:pPr>
        <w:pStyle w:val="ListParagraph"/>
        <w:numPr>
          <w:ilvl w:val="0"/>
          <w:numId w:val="25"/>
        </w:numPr>
      </w:pPr>
      <w:r>
        <w:t>Research labs typically do not have lab certification (e.g., CLIA, CAP) and may not have “normal lab values. If a research lab is used, ensure that the Lab Director’s CV and research lab reference values are on file</w:t>
      </w:r>
    </w:p>
    <w:p w14:paraId="77BB0890" w14:textId="77777777" w:rsidR="00645A8D" w:rsidRDefault="00645A8D" w:rsidP="00645A8D"/>
    <w:p w14:paraId="5D448162" w14:textId="77777777" w:rsidR="00645A8D" w:rsidRDefault="00645A8D" w:rsidP="00645A8D">
      <w:pPr>
        <w:pBdr>
          <w:bottom w:val="single" w:sz="4" w:space="1" w:color="4472C4" w:themeColor="accent1"/>
        </w:pBdr>
      </w:pPr>
      <w:r>
        <w:t>Federal Regulations/Good Clinical Practice</w:t>
      </w:r>
    </w:p>
    <w:p w14:paraId="403A3912" w14:textId="3B3BB46D" w:rsidR="00843F5D" w:rsidRDefault="00AC3AE8" w:rsidP="00797768">
      <w:r w:rsidRPr="00AC3AE8">
        <w:t>GCP: 8.2.11; 8.2.12; 8.22.14; 8.3.6; 8.3.7</w:t>
      </w:r>
    </w:p>
    <w:p w14:paraId="4129D896" w14:textId="77777777" w:rsidR="00AC3AE8" w:rsidRDefault="00AC3AE8" w:rsidP="00797768"/>
    <w:p w14:paraId="6B4F4F55" w14:textId="5CA36EBB" w:rsidR="00AC3AE8" w:rsidRDefault="00AC3AE8">
      <w:r>
        <w:br w:type="page"/>
      </w:r>
    </w:p>
    <w:p w14:paraId="03A17C34" w14:textId="54680B87" w:rsidR="00AC3AE8" w:rsidRPr="00A9025B" w:rsidRDefault="00433F9B" w:rsidP="00AC3AE8">
      <w:pPr>
        <w:pBdr>
          <w:bottom w:val="single" w:sz="4" w:space="1" w:color="4472C4" w:themeColor="accent1"/>
        </w:pBdr>
        <w:rPr>
          <w:sz w:val="40"/>
          <w:szCs w:val="40"/>
        </w:rPr>
      </w:pPr>
      <w:r>
        <w:rPr>
          <w:sz w:val="40"/>
          <w:szCs w:val="40"/>
        </w:rPr>
        <w:lastRenderedPageBreak/>
        <w:t>Drug / Device</w:t>
      </w:r>
      <w:r w:rsidR="00075157">
        <w:rPr>
          <w:sz w:val="40"/>
          <w:szCs w:val="40"/>
        </w:rPr>
        <w:t xml:space="preserve"> </w:t>
      </w:r>
    </w:p>
    <w:p w14:paraId="65269A40" w14:textId="6BADE526" w:rsidR="00AC3AE8" w:rsidRPr="00A9025B" w:rsidRDefault="00AC3AE8" w:rsidP="00AC3AE8">
      <w:pPr>
        <w:rPr>
          <w:u w:val="single"/>
        </w:rPr>
      </w:pPr>
      <w:r>
        <w:rPr>
          <w:u w:val="single"/>
        </w:rPr>
        <w:t>Requirement</w:t>
      </w:r>
      <w:r w:rsidR="00433F9B">
        <w:rPr>
          <w:u w:val="single"/>
        </w:rPr>
        <w:t>s</w:t>
      </w:r>
    </w:p>
    <w:p w14:paraId="19063CE7" w14:textId="683905C1" w:rsidR="00433F9B" w:rsidRDefault="00433F9B" w:rsidP="00433F9B">
      <w:pPr>
        <w:pStyle w:val="ListParagraph"/>
        <w:numPr>
          <w:ilvl w:val="0"/>
          <w:numId w:val="27"/>
        </w:numPr>
      </w:pPr>
      <w:r>
        <w:t xml:space="preserve">Drug/Device shipment, receipt, </w:t>
      </w:r>
      <w:r w:rsidR="007A40E5">
        <w:t xml:space="preserve">dispensing, </w:t>
      </w:r>
      <w:r>
        <w:t>return, and destruction records</w:t>
      </w:r>
    </w:p>
    <w:p w14:paraId="1F5B3560" w14:textId="2ADFD7B1" w:rsidR="00433F9B" w:rsidRDefault="00433F9B" w:rsidP="00433F9B">
      <w:pPr>
        <w:pStyle w:val="ListParagraph"/>
        <w:numPr>
          <w:ilvl w:val="0"/>
          <w:numId w:val="27"/>
        </w:numPr>
      </w:pPr>
      <w:r>
        <w:t>Drug/Device Accountability Log</w:t>
      </w:r>
    </w:p>
    <w:p w14:paraId="020C559B" w14:textId="77777777" w:rsidR="00433F9B" w:rsidRPr="004A08E0" w:rsidRDefault="00433F9B" w:rsidP="00433F9B">
      <w:pPr>
        <w:pStyle w:val="ListParagraph"/>
        <w:numPr>
          <w:ilvl w:val="0"/>
          <w:numId w:val="27"/>
        </w:numPr>
        <w:rPr>
          <w:u w:val="single"/>
        </w:rPr>
      </w:pPr>
      <w:r>
        <w:t>Drug/Device dispensing Log</w:t>
      </w:r>
    </w:p>
    <w:p w14:paraId="0752DAA4" w14:textId="521AE9BD" w:rsidR="004A08E0" w:rsidRPr="00433F9B" w:rsidRDefault="004A08E0" w:rsidP="00433F9B">
      <w:pPr>
        <w:pStyle w:val="ListParagraph"/>
        <w:numPr>
          <w:ilvl w:val="0"/>
          <w:numId w:val="27"/>
        </w:numPr>
        <w:rPr>
          <w:u w:val="single"/>
        </w:rPr>
      </w:pPr>
      <w:r>
        <w:t xml:space="preserve">Temperature records and excursions, if any </w:t>
      </w:r>
    </w:p>
    <w:p w14:paraId="6AD3695A" w14:textId="77777777" w:rsidR="00433F9B" w:rsidRPr="00433F9B" w:rsidRDefault="00433F9B" w:rsidP="00433F9B">
      <w:pPr>
        <w:pStyle w:val="ListParagraph"/>
        <w:rPr>
          <w:u w:val="single"/>
        </w:rPr>
      </w:pPr>
    </w:p>
    <w:p w14:paraId="2E3A7E32" w14:textId="2E3CBAB4" w:rsidR="00AC3AE8" w:rsidRPr="00433F9B" w:rsidRDefault="00AC3AE8" w:rsidP="00506DED">
      <w:pPr>
        <w:rPr>
          <w:u w:val="single"/>
        </w:rPr>
      </w:pPr>
      <w:r w:rsidRPr="00433F9B">
        <w:rPr>
          <w:u w:val="single"/>
        </w:rPr>
        <w:t>Tips</w:t>
      </w:r>
    </w:p>
    <w:p w14:paraId="79333E09" w14:textId="5B21F629" w:rsidR="007A40E5" w:rsidRDefault="007A40E5" w:rsidP="00506DED">
      <w:pPr>
        <w:pStyle w:val="ListParagraph"/>
        <w:numPr>
          <w:ilvl w:val="0"/>
          <w:numId w:val="29"/>
        </w:numPr>
      </w:pPr>
      <w:proofErr w:type="gramStart"/>
      <w:r>
        <w:t>Keep documentation up to date</w:t>
      </w:r>
      <w:r w:rsidR="005C77D0">
        <w:t xml:space="preserve"> and complete and inspection-ready at all times</w:t>
      </w:r>
      <w:proofErr w:type="gramEnd"/>
    </w:p>
    <w:p w14:paraId="3589150A" w14:textId="43322594" w:rsidR="00506DED" w:rsidRDefault="00506DED" w:rsidP="00506DED">
      <w:pPr>
        <w:pStyle w:val="ListParagraph"/>
        <w:numPr>
          <w:ilvl w:val="0"/>
          <w:numId w:val="29"/>
        </w:numPr>
      </w:pPr>
      <w:r>
        <w:t>The PI is responsible for following with respect to investigational drugs/devices:</w:t>
      </w:r>
    </w:p>
    <w:p w14:paraId="781B2C39" w14:textId="65EBDDA6" w:rsidR="00506DED" w:rsidRDefault="00506DED" w:rsidP="00EC5C72">
      <w:pPr>
        <w:pStyle w:val="ListParagraph"/>
        <w:numPr>
          <w:ilvl w:val="0"/>
          <w:numId w:val="30"/>
        </w:numPr>
      </w:pPr>
      <w:r>
        <w:t>Maintaining records for investigational product delivery to the study site,</w:t>
      </w:r>
      <w:r w:rsidR="00EC5C72">
        <w:t xml:space="preserve"> </w:t>
      </w:r>
      <w:r>
        <w:t>including dates, quantities received, batch/serial numbers, and expiration dates.</w:t>
      </w:r>
    </w:p>
    <w:p w14:paraId="6FFA5267" w14:textId="40990A39" w:rsidR="00506DED" w:rsidRDefault="00506DED" w:rsidP="00EC5C72">
      <w:pPr>
        <w:pStyle w:val="ListParagraph"/>
        <w:numPr>
          <w:ilvl w:val="0"/>
          <w:numId w:val="30"/>
        </w:numPr>
      </w:pPr>
      <w:r>
        <w:t>Maintaining an inventory of the investigational product at any site. Inventory</w:t>
      </w:r>
      <w:r w:rsidR="00EC5C72">
        <w:t xml:space="preserve"> </w:t>
      </w:r>
      <w:r>
        <w:t>control records should be updated, signed, and dates by the PI in a timely</w:t>
      </w:r>
      <w:r w:rsidR="00EC5C72">
        <w:t xml:space="preserve"> </w:t>
      </w:r>
      <w:r>
        <w:t>manner.</w:t>
      </w:r>
    </w:p>
    <w:p w14:paraId="1C4DF7EB" w14:textId="5A31ECE8" w:rsidR="00506DED" w:rsidRDefault="00506DED" w:rsidP="00EC5C72">
      <w:pPr>
        <w:pStyle w:val="ListParagraph"/>
        <w:numPr>
          <w:ilvl w:val="0"/>
          <w:numId w:val="30"/>
        </w:numPr>
      </w:pPr>
      <w:r>
        <w:t>Recording/tracking use of the investigational product by each participant.</w:t>
      </w:r>
      <w:r w:rsidR="00EC5C72">
        <w:t xml:space="preserve"> </w:t>
      </w:r>
      <w:r>
        <w:t>Documentation should verify that dosing/device use was in accordance with the</w:t>
      </w:r>
      <w:r w:rsidR="00EC5C72">
        <w:t xml:space="preserve"> </w:t>
      </w:r>
      <w:r>
        <w:t>approved protocol. Maintain an accountability log that records when</w:t>
      </w:r>
      <w:r w:rsidR="00EC5C72">
        <w:t xml:space="preserve"> </w:t>
      </w:r>
      <w:r>
        <w:t>participants received the drug/device and the specific dosage/device that each</w:t>
      </w:r>
      <w:r w:rsidR="00EC5C72">
        <w:t xml:space="preserve"> </w:t>
      </w:r>
      <w:r>
        <w:t>received.</w:t>
      </w:r>
    </w:p>
    <w:p w14:paraId="778E7CCF" w14:textId="440BD09E" w:rsidR="00506DED" w:rsidRDefault="00506DED" w:rsidP="00EC5C72">
      <w:pPr>
        <w:pStyle w:val="ListParagraph"/>
        <w:numPr>
          <w:ilvl w:val="0"/>
          <w:numId w:val="30"/>
        </w:numPr>
      </w:pPr>
      <w:r>
        <w:t>Storing the investigational product. The storage area should be locked/secure,</w:t>
      </w:r>
      <w:r w:rsidR="00EC5C72">
        <w:t xml:space="preserve"> </w:t>
      </w:r>
      <w:r>
        <w:t>with access limited to approved study staff only. Drugs/devices should not be</w:t>
      </w:r>
      <w:r w:rsidR="00EC5C72">
        <w:t xml:space="preserve"> </w:t>
      </w:r>
      <w:r>
        <w:t>stored with standard clinical inventory.</w:t>
      </w:r>
    </w:p>
    <w:p w14:paraId="533FA9D7" w14:textId="50860AAF" w:rsidR="00AC3AE8" w:rsidRDefault="00506DED" w:rsidP="00EC5C72">
      <w:pPr>
        <w:pStyle w:val="ListParagraph"/>
        <w:numPr>
          <w:ilvl w:val="0"/>
          <w:numId w:val="30"/>
        </w:numPr>
      </w:pPr>
      <w:r>
        <w:t>Returning/disposing of unused investigational product as specified by the</w:t>
      </w:r>
      <w:r w:rsidR="00EC5C72">
        <w:t xml:space="preserve"> </w:t>
      </w:r>
      <w:r>
        <w:t>sponsor. Maintain documentation of return/disposal.</w:t>
      </w:r>
    </w:p>
    <w:p w14:paraId="0C40CF78" w14:textId="77777777" w:rsidR="00EC5C72" w:rsidRDefault="00EC5C72" w:rsidP="00EC5C72"/>
    <w:p w14:paraId="4C63894D" w14:textId="77777777" w:rsidR="00AC3AE8" w:rsidRDefault="00AC3AE8" w:rsidP="00AC3AE8">
      <w:pPr>
        <w:pBdr>
          <w:bottom w:val="single" w:sz="4" w:space="1" w:color="4472C4" w:themeColor="accent1"/>
        </w:pBdr>
      </w:pPr>
      <w:r>
        <w:t>Federal Regulations/Good Clinical Practice</w:t>
      </w:r>
    </w:p>
    <w:p w14:paraId="04DBE9B5" w14:textId="0FCDB9C0" w:rsidR="00AC3AE8" w:rsidRDefault="007D3D88" w:rsidP="00797768">
      <w:r w:rsidRPr="007D3D88">
        <w:t>FDA: 21 CFR §312.57; 21 CFR §312.62; 21 CFR §812.140</w:t>
      </w:r>
      <w:r w:rsidRPr="007D3D88">
        <w:cr/>
      </w:r>
    </w:p>
    <w:p w14:paraId="07C211B0" w14:textId="3B2D38D9" w:rsidR="007D3D88" w:rsidRDefault="007D3D88">
      <w:r>
        <w:br w:type="page"/>
      </w:r>
    </w:p>
    <w:p w14:paraId="7BDA706B" w14:textId="61E37976" w:rsidR="00544955" w:rsidRPr="00A9025B" w:rsidRDefault="00544955" w:rsidP="00544955">
      <w:pPr>
        <w:pBdr>
          <w:bottom w:val="single" w:sz="4" w:space="1" w:color="4472C4" w:themeColor="accent1"/>
        </w:pBdr>
        <w:rPr>
          <w:sz w:val="40"/>
          <w:szCs w:val="40"/>
        </w:rPr>
      </w:pPr>
      <w:r>
        <w:rPr>
          <w:sz w:val="40"/>
          <w:szCs w:val="40"/>
        </w:rPr>
        <w:lastRenderedPageBreak/>
        <w:t>Investigator Brochure / Device Manual / Package Insert</w:t>
      </w:r>
    </w:p>
    <w:p w14:paraId="0617A047" w14:textId="77777777" w:rsidR="00544955" w:rsidRPr="00A9025B" w:rsidRDefault="00544955" w:rsidP="00544955">
      <w:pPr>
        <w:rPr>
          <w:u w:val="single"/>
        </w:rPr>
      </w:pPr>
      <w:r>
        <w:rPr>
          <w:u w:val="single"/>
        </w:rPr>
        <w:t>Requirements</w:t>
      </w:r>
    </w:p>
    <w:p w14:paraId="1D46E83C" w14:textId="77777777" w:rsidR="00C95027" w:rsidRPr="00C95027" w:rsidRDefault="00C95027" w:rsidP="00C95027">
      <w:pPr>
        <w:pStyle w:val="ListParagraph"/>
        <w:numPr>
          <w:ilvl w:val="0"/>
          <w:numId w:val="31"/>
        </w:numPr>
        <w:rPr>
          <w:u w:val="single"/>
        </w:rPr>
      </w:pPr>
      <w:r>
        <w:t xml:space="preserve">Most recent version of the Investigator Brochure or product information, e.g., package insert or sample label (for investigational drugs) </w:t>
      </w:r>
    </w:p>
    <w:p w14:paraId="07129514" w14:textId="5B8BCD11" w:rsidR="00544955" w:rsidRPr="00433F9B" w:rsidRDefault="00C95027" w:rsidP="00C95027">
      <w:pPr>
        <w:pStyle w:val="ListParagraph"/>
        <w:numPr>
          <w:ilvl w:val="0"/>
          <w:numId w:val="31"/>
        </w:numPr>
        <w:rPr>
          <w:u w:val="single"/>
        </w:rPr>
      </w:pPr>
      <w:r>
        <w:t xml:space="preserve">Device Manual or Report </w:t>
      </w:r>
      <w:proofErr w:type="gramStart"/>
      <w:r>
        <w:t>of</w:t>
      </w:r>
      <w:proofErr w:type="gramEnd"/>
      <w:r>
        <w:t xml:space="preserve"> Prior Investigations (ROPI) (for investigational devices)</w:t>
      </w:r>
    </w:p>
    <w:p w14:paraId="18F07B92" w14:textId="77777777" w:rsidR="00C95027" w:rsidRDefault="00C95027" w:rsidP="00544955">
      <w:pPr>
        <w:rPr>
          <w:u w:val="single"/>
        </w:rPr>
      </w:pPr>
    </w:p>
    <w:p w14:paraId="6EEDC910" w14:textId="4447FE38" w:rsidR="00544955" w:rsidRPr="00433F9B" w:rsidRDefault="00544955" w:rsidP="00544955">
      <w:pPr>
        <w:rPr>
          <w:u w:val="single"/>
        </w:rPr>
      </w:pPr>
      <w:r w:rsidRPr="00433F9B">
        <w:rPr>
          <w:u w:val="single"/>
        </w:rPr>
        <w:t>Tips</w:t>
      </w:r>
    </w:p>
    <w:p w14:paraId="33475420" w14:textId="56F4D148" w:rsidR="00544955" w:rsidRDefault="00544955" w:rsidP="00544955">
      <w:pPr>
        <w:pStyle w:val="ListParagraph"/>
        <w:numPr>
          <w:ilvl w:val="0"/>
          <w:numId w:val="29"/>
        </w:numPr>
      </w:pPr>
      <w:r>
        <w:t>If documentation is filed in a location other than the regulatory binder, write a signed and dated note-to-file indicating the location and who maintains documentation (e.g., Research Pharmacy) (</w:t>
      </w:r>
      <w:proofErr w:type="gramStart"/>
      <w:r>
        <w:t>include</w:t>
      </w:r>
      <w:proofErr w:type="gramEnd"/>
      <w:r>
        <w:t xml:space="preserve"> a copy of the note-to-file behind this tab).</w:t>
      </w:r>
    </w:p>
    <w:p w14:paraId="7C72F92C" w14:textId="1AC809CD" w:rsidR="003F792E" w:rsidRDefault="003F792E" w:rsidP="003F792E">
      <w:pPr>
        <w:pStyle w:val="ListParagraph"/>
        <w:numPr>
          <w:ilvl w:val="0"/>
          <w:numId w:val="32"/>
        </w:numPr>
      </w:pPr>
      <w:r>
        <w:t>Send updated versions to the IRB at the time of Continuing Review, unless the update requires a change to the protocol.</w:t>
      </w:r>
    </w:p>
    <w:p w14:paraId="40C38DE7" w14:textId="2D15140F" w:rsidR="00544955" w:rsidRDefault="003F792E" w:rsidP="003F792E">
      <w:pPr>
        <w:pStyle w:val="ListParagraph"/>
        <w:numPr>
          <w:ilvl w:val="0"/>
          <w:numId w:val="32"/>
        </w:numPr>
      </w:pPr>
      <w:r>
        <w:t>If the investigational product is marketed and its pharmacology is widely understood, a</w:t>
      </w:r>
      <w:r w:rsidR="00EC64B2">
        <w:t xml:space="preserve"> </w:t>
      </w:r>
      <w:r>
        <w:t>basic product information brochure or package insert is appropriate.</w:t>
      </w:r>
    </w:p>
    <w:p w14:paraId="2927B4CE" w14:textId="77777777" w:rsidR="00544955" w:rsidRDefault="00544955" w:rsidP="00544955"/>
    <w:p w14:paraId="73500D29" w14:textId="77777777" w:rsidR="00544955" w:rsidRDefault="00544955" w:rsidP="00544955">
      <w:pPr>
        <w:pBdr>
          <w:bottom w:val="single" w:sz="4" w:space="1" w:color="4472C4" w:themeColor="accent1"/>
        </w:pBdr>
      </w:pPr>
      <w:r>
        <w:t>Federal Regulations/Good Clinical Practice</w:t>
      </w:r>
    </w:p>
    <w:p w14:paraId="74177715" w14:textId="77777777" w:rsidR="00EC64B2" w:rsidRDefault="00EC64B2" w:rsidP="00544955">
      <w:r>
        <w:t xml:space="preserve">GCP: 8.2.1; 8.3.1 </w:t>
      </w:r>
    </w:p>
    <w:p w14:paraId="6115E54A" w14:textId="60BE001E" w:rsidR="00544955" w:rsidRDefault="00EC64B2" w:rsidP="00544955">
      <w:r>
        <w:t>FDA: 21 CFR §312.55</w:t>
      </w:r>
    </w:p>
    <w:p w14:paraId="50EAA13E" w14:textId="6D456E80" w:rsidR="00A611FB" w:rsidRDefault="00A611FB">
      <w:r>
        <w:br w:type="page"/>
      </w:r>
    </w:p>
    <w:p w14:paraId="5994B948" w14:textId="09AE0187" w:rsidR="00A611FB" w:rsidRPr="00A9025B" w:rsidRDefault="00A611FB" w:rsidP="00A611FB">
      <w:pPr>
        <w:pBdr>
          <w:bottom w:val="single" w:sz="4" w:space="1" w:color="4472C4" w:themeColor="accent1"/>
        </w:pBdr>
        <w:rPr>
          <w:sz w:val="40"/>
          <w:szCs w:val="40"/>
        </w:rPr>
      </w:pPr>
      <w:r>
        <w:rPr>
          <w:sz w:val="40"/>
          <w:szCs w:val="40"/>
        </w:rPr>
        <w:t>Communications</w:t>
      </w:r>
    </w:p>
    <w:p w14:paraId="62A38BFC" w14:textId="478B01CF" w:rsidR="00A611FB" w:rsidRPr="00433F9B" w:rsidRDefault="00A611FB" w:rsidP="00A611FB">
      <w:pPr>
        <w:pStyle w:val="ListParagraph"/>
        <w:ind w:left="1080"/>
        <w:rPr>
          <w:u w:val="single"/>
        </w:rPr>
      </w:pPr>
    </w:p>
    <w:p w14:paraId="373E1ABD" w14:textId="77777777" w:rsidR="00A611FB" w:rsidRDefault="00A611FB" w:rsidP="00A611FB">
      <w:pPr>
        <w:rPr>
          <w:u w:val="single"/>
        </w:rPr>
      </w:pPr>
    </w:p>
    <w:p w14:paraId="6494967B" w14:textId="77777777" w:rsidR="00A611FB" w:rsidRPr="00433F9B" w:rsidRDefault="00A611FB" w:rsidP="00A611FB">
      <w:pPr>
        <w:rPr>
          <w:u w:val="single"/>
        </w:rPr>
      </w:pPr>
      <w:r w:rsidRPr="00433F9B">
        <w:rPr>
          <w:u w:val="single"/>
        </w:rPr>
        <w:t>Tips</w:t>
      </w:r>
    </w:p>
    <w:p w14:paraId="335DD403" w14:textId="3D3BACE4" w:rsidR="00A611FB" w:rsidRDefault="007F304F" w:rsidP="00A611FB">
      <w:pPr>
        <w:pStyle w:val="ListParagraph"/>
        <w:numPr>
          <w:ilvl w:val="0"/>
          <w:numId w:val="29"/>
        </w:numPr>
      </w:pPr>
      <w:r>
        <w:t xml:space="preserve">Maintain correspondence related to safety, protocol deviations, IRB notifications and key study decisions.  </w:t>
      </w:r>
    </w:p>
    <w:p w14:paraId="6D16015E" w14:textId="0BC9F6CD" w:rsidR="00476519" w:rsidRDefault="00476519" w:rsidP="00A611FB">
      <w:pPr>
        <w:pStyle w:val="ListParagraph"/>
        <w:numPr>
          <w:ilvl w:val="0"/>
          <w:numId w:val="29"/>
        </w:numPr>
      </w:pPr>
      <w:r>
        <w:t>Monitoring Visit confirmation letters and Follow-up letters</w:t>
      </w:r>
      <w:r w:rsidR="00501542">
        <w:t>.</w:t>
      </w:r>
    </w:p>
    <w:p w14:paraId="5057347A" w14:textId="125A118C" w:rsidR="00501542" w:rsidRDefault="00501542" w:rsidP="00A611FB">
      <w:pPr>
        <w:pStyle w:val="ListParagraph"/>
        <w:numPr>
          <w:ilvl w:val="0"/>
          <w:numId w:val="29"/>
        </w:numPr>
      </w:pPr>
      <w:r>
        <w:t>C</w:t>
      </w:r>
      <w:r w:rsidR="00B3060E">
        <w:t>ommunications with medical monitors related to safety questions, inclusion/exclusion criteria, etc.</w:t>
      </w:r>
    </w:p>
    <w:p w14:paraId="6C27F451" w14:textId="446FB044" w:rsidR="00476519" w:rsidRDefault="00501542" w:rsidP="00A611FB">
      <w:pPr>
        <w:pStyle w:val="ListParagraph"/>
        <w:numPr>
          <w:ilvl w:val="0"/>
          <w:numId w:val="29"/>
        </w:numPr>
      </w:pPr>
      <w:r>
        <w:t>Ensure documentation reflects that actions are resolved in a timely manner.</w:t>
      </w:r>
    </w:p>
    <w:p w14:paraId="1BAD1EDC" w14:textId="77777777" w:rsidR="007D3D88" w:rsidRDefault="007D3D88" w:rsidP="00797768"/>
    <w:sectPr w:rsidR="007D3D88">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D74E9" w14:textId="77777777" w:rsidR="007C6153" w:rsidRDefault="007C6153" w:rsidP="00F11328">
      <w:pPr>
        <w:spacing w:after="0" w:line="240" w:lineRule="auto"/>
      </w:pPr>
      <w:r>
        <w:separator/>
      </w:r>
    </w:p>
  </w:endnote>
  <w:endnote w:type="continuationSeparator" w:id="0">
    <w:p w14:paraId="44FA5058" w14:textId="77777777" w:rsidR="007C6153" w:rsidRDefault="007C6153" w:rsidP="00F11328">
      <w:pPr>
        <w:spacing w:after="0" w:line="240" w:lineRule="auto"/>
      </w:pPr>
      <w:r>
        <w:continuationSeparator/>
      </w:r>
    </w:p>
  </w:endnote>
  <w:endnote w:type="continuationNotice" w:id="1">
    <w:p w14:paraId="7617314D" w14:textId="77777777" w:rsidR="007C6153" w:rsidRDefault="007C61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12362" w14:textId="1524931E" w:rsidR="00F11328" w:rsidRPr="00F11328" w:rsidRDefault="00F11328">
    <w:pPr>
      <w:pStyle w:val="Footer"/>
      <w:rPr>
        <w:i/>
        <w:iCs/>
      </w:rPr>
    </w:pPr>
    <w:r w:rsidRPr="00F11328">
      <w:rPr>
        <w:i/>
        <w:iCs/>
      </w:rPr>
      <w:t>Adopted from: https://www.hsph.harvard.edu/regulatory-affairs-and-research-compliance/wp-content/uploads/sites/2352/2022/11/HRP-603-QAQI-TOOL-Regulatory-Binder-Tabs-ORARC-ALL.pdf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40BDC" w14:textId="77777777" w:rsidR="007C6153" w:rsidRDefault="007C6153" w:rsidP="00F11328">
      <w:pPr>
        <w:spacing w:after="0" w:line="240" w:lineRule="auto"/>
      </w:pPr>
      <w:r>
        <w:separator/>
      </w:r>
    </w:p>
  </w:footnote>
  <w:footnote w:type="continuationSeparator" w:id="0">
    <w:p w14:paraId="701CB594" w14:textId="77777777" w:rsidR="007C6153" w:rsidRDefault="007C6153" w:rsidP="00F11328">
      <w:pPr>
        <w:spacing w:after="0" w:line="240" w:lineRule="auto"/>
      </w:pPr>
      <w:r>
        <w:continuationSeparator/>
      </w:r>
    </w:p>
  </w:footnote>
  <w:footnote w:type="continuationNotice" w:id="1">
    <w:p w14:paraId="714B836D" w14:textId="77777777" w:rsidR="007C6153" w:rsidRDefault="007C615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heckbox." style="width:23.25pt;height:23.25pt;visibility:visible" o:bullet="t">
        <v:imagedata r:id="rId1" o:title="Checkbox"/>
      </v:shape>
    </w:pict>
  </w:numPicBullet>
  <w:abstractNum w:abstractNumId="0" w15:restartNumberingAfterBreak="0">
    <w:nsid w:val="02BE5E21"/>
    <w:multiLevelType w:val="hybridMultilevel"/>
    <w:tmpl w:val="9564C33A"/>
    <w:lvl w:ilvl="0" w:tplc="FFFFFFFF">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C37869"/>
    <w:multiLevelType w:val="hybridMultilevel"/>
    <w:tmpl w:val="6C3819C4"/>
    <w:lvl w:ilvl="0" w:tplc="9E2EBC8A">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462865"/>
    <w:multiLevelType w:val="hybridMultilevel"/>
    <w:tmpl w:val="6B46DD4A"/>
    <w:lvl w:ilvl="0" w:tplc="FFFFFFFF">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2DE09C7"/>
    <w:multiLevelType w:val="hybridMultilevel"/>
    <w:tmpl w:val="7A8CBB02"/>
    <w:lvl w:ilvl="0" w:tplc="9E2EBC8A">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A5707F"/>
    <w:multiLevelType w:val="hybridMultilevel"/>
    <w:tmpl w:val="C2329D3E"/>
    <w:lvl w:ilvl="0" w:tplc="04090005">
      <w:start w:val="1"/>
      <w:numFmt w:val="bullet"/>
      <w:lvlText w:val=""/>
      <w:lvlJc w:val="left"/>
      <w:pPr>
        <w:ind w:left="1440" w:hanging="360"/>
      </w:pPr>
      <w:rPr>
        <w:rFonts w:ascii="Wingdings" w:hAnsi="Wingding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1B5300F2"/>
    <w:multiLevelType w:val="hybridMultilevel"/>
    <w:tmpl w:val="1F1488E4"/>
    <w:lvl w:ilvl="0" w:tplc="9E2EBC8A">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495A90"/>
    <w:multiLevelType w:val="hybridMultilevel"/>
    <w:tmpl w:val="FF121E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D542BE"/>
    <w:multiLevelType w:val="hybridMultilevel"/>
    <w:tmpl w:val="0E7AC45A"/>
    <w:lvl w:ilvl="0" w:tplc="04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C113B11"/>
    <w:multiLevelType w:val="hybridMultilevel"/>
    <w:tmpl w:val="0D548A5A"/>
    <w:lvl w:ilvl="0" w:tplc="FFFFFFFF">
      <w:start w:val="1"/>
      <w:numFmt w:val="bullet"/>
      <w:lvlText w:val=""/>
      <w:lvlPicBulletId w:val="0"/>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F36716B"/>
    <w:multiLevelType w:val="hybridMultilevel"/>
    <w:tmpl w:val="B52CE63E"/>
    <w:lvl w:ilvl="0" w:tplc="9E2EBC8A">
      <w:start w:val="1"/>
      <w:numFmt w:val="bullet"/>
      <w:lvlText w:val=""/>
      <w:lvlPicBulletId w:val="0"/>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87D5ABB"/>
    <w:multiLevelType w:val="hybridMultilevel"/>
    <w:tmpl w:val="03983782"/>
    <w:lvl w:ilvl="0" w:tplc="FFFFFFFF">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E5332B1"/>
    <w:multiLevelType w:val="hybridMultilevel"/>
    <w:tmpl w:val="1876B6AE"/>
    <w:lvl w:ilvl="0" w:tplc="FFFFFFFF">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1F10CCA"/>
    <w:multiLevelType w:val="hybridMultilevel"/>
    <w:tmpl w:val="A15E1FD6"/>
    <w:lvl w:ilvl="0" w:tplc="9E2EBC8A">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1F87672"/>
    <w:multiLevelType w:val="hybridMultilevel"/>
    <w:tmpl w:val="EED4D492"/>
    <w:lvl w:ilvl="0" w:tplc="04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24876A8"/>
    <w:multiLevelType w:val="hybridMultilevel"/>
    <w:tmpl w:val="0B8E8508"/>
    <w:lvl w:ilvl="0" w:tplc="04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2B97315"/>
    <w:multiLevelType w:val="hybridMultilevel"/>
    <w:tmpl w:val="96FA5946"/>
    <w:lvl w:ilvl="0" w:tplc="9E2EBC8A">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A60077"/>
    <w:multiLevelType w:val="hybridMultilevel"/>
    <w:tmpl w:val="2DDCAC16"/>
    <w:lvl w:ilvl="0" w:tplc="04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A8474D8"/>
    <w:multiLevelType w:val="hybridMultilevel"/>
    <w:tmpl w:val="CCC2C04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43619C"/>
    <w:multiLevelType w:val="hybridMultilevel"/>
    <w:tmpl w:val="C3F67080"/>
    <w:lvl w:ilvl="0" w:tplc="9E2EBC8A">
      <w:start w:val="1"/>
      <w:numFmt w:val="bullet"/>
      <w:lvlText w:val=""/>
      <w:lvlPicBulletId w:val="0"/>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554FE2"/>
    <w:multiLevelType w:val="hybridMultilevel"/>
    <w:tmpl w:val="C69E2698"/>
    <w:lvl w:ilvl="0" w:tplc="04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26700BD"/>
    <w:multiLevelType w:val="hybridMultilevel"/>
    <w:tmpl w:val="17D0E11E"/>
    <w:lvl w:ilvl="0" w:tplc="04090005">
      <w:start w:val="1"/>
      <w:numFmt w:val="bullet"/>
      <w:lvlText w:val=""/>
      <w:lvlJc w:val="left"/>
      <w:pPr>
        <w:ind w:left="1440" w:hanging="360"/>
      </w:pPr>
      <w:rPr>
        <w:rFonts w:ascii="Wingdings" w:hAnsi="Wingding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1" w15:restartNumberingAfterBreak="0">
    <w:nsid w:val="548A7273"/>
    <w:multiLevelType w:val="hybridMultilevel"/>
    <w:tmpl w:val="08002F0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F922F4"/>
    <w:multiLevelType w:val="hybridMultilevel"/>
    <w:tmpl w:val="AE9C12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5D644E"/>
    <w:multiLevelType w:val="hybridMultilevel"/>
    <w:tmpl w:val="9C5286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531621"/>
    <w:multiLevelType w:val="hybridMultilevel"/>
    <w:tmpl w:val="60B0CAC4"/>
    <w:lvl w:ilvl="0" w:tplc="9E2EBC8A">
      <w:start w:val="1"/>
      <w:numFmt w:val="bullet"/>
      <w:lvlText w:val=""/>
      <w:lvlPicBulletId w:val="0"/>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E6355C1"/>
    <w:multiLevelType w:val="hybridMultilevel"/>
    <w:tmpl w:val="5E7AE7C6"/>
    <w:lvl w:ilvl="0" w:tplc="04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1973935"/>
    <w:multiLevelType w:val="hybridMultilevel"/>
    <w:tmpl w:val="821846BE"/>
    <w:lvl w:ilvl="0" w:tplc="04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6227CBC"/>
    <w:multiLevelType w:val="hybridMultilevel"/>
    <w:tmpl w:val="031A5A26"/>
    <w:lvl w:ilvl="0" w:tplc="9E2EBC8A">
      <w:start w:val="1"/>
      <w:numFmt w:val="bullet"/>
      <w:lvlText w:val=""/>
      <w:lvlPicBulletId w:val="0"/>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8" w15:restartNumberingAfterBreak="0">
    <w:nsid w:val="6920388B"/>
    <w:multiLevelType w:val="hybridMultilevel"/>
    <w:tmpl w:val="2A928906"/>
    <w:lvl w:ilvl="0" w:tplc="FFFFFFFF">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1714238"/>
    <w:multiLevelType w:val="hybridMultilevel"/>
    <w:tmpl w:val="3228A3C6"/>
    <w:lvl w:ilvl="0" w:tplc="9E2EBC8A">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5452064"/>
    <w:multiLevelType w:val="hybridMultilevel"/>
    <w:tmpl w:val="D7322686"/>
    <w:lvl w:ilvl="0" w:tplc="04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C093C09"/>
    <w:multiLevelType w:val="hybridMultilevel"/>
    <w:tmpl w:val="E52C76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6922070">
    <w:abstractNumId w:val="22"/>
  </w:num>
  <w:num w:numId="2" w16cid:durableId="1965192805">
    <w:abstractNumId w:val="18"/>
  </w:num>
  <w:num w:numId="3" w16cid:durableId="1833375871">
    <w:abstractNumId w:val="27"/>
  </w:num>
  <w:num w:numId="4" w16cid:durableId="657268858">
    <w:abstractNumId w:val="3"/>
  </w:num>
  <w:num w:numId="5" w16cid:durableId="1471285772">
    <w:abstractNumId w:val="5"/>
  </w:num>
  <w:num w:numId="6" w16cid:durableId="1489713193">
    <w:abstractNumId w:val="19"/>
  </w:num>
  <w:num w:numId="7" w16cid:durableId="1828858167">
    <w:abstractNumId w:val="21"/>
  </w:num>
  <w:num w:numId="8" w16cid:durableId="1677997641">
    <w:abstractNumId w:val="0"/>
  </w:num>
  <w:num w:numId="9" w16cid:durableId="1666667578">
    <w:abstractNumId w:val="30"/>
  </w:num>
  <w:num w:numId="10" w16cid:durableId="701202003">
    <w:abstractNumId w:val="8"/>
  </w:num>
  <w:num w:numId="11" w16cid:durableId="94835296">
    <w:abstractNumId w:val="25"/>
  </w:num>
  <w:num w:numId="12" w16cid:durableId="1836531373">
    <w:abstractNumId w:val="26"/>
  </w:num>
  <w:num w:numId="13" w16cid:durableId="1124999696">
    <w:abstractNumId w:val="7"/>
  </w:num>
  <w:num w:numId="14" w16cid:durableId="1313489209">
    <w:abstractNumId w:val="13"/>
  </w:num>
  <w:num w:numId="15" w16cid:durableId="1561671474">
    <w:abstractNumId w:val="17"/>
  </w:num>
  <w:num w:numId="16" w16cid:durableId="265162812">
    <w:abstractNumId w:val="10"/>
  </w:num>
  <w:num w:numId="17" w16cid:durableId="2034187758">
    <w:abstractNumId w:val="11"/>
  </w:num>
  <w:num w:numId="18" w16cid:durableId="1968124394">
    <w:abstractNumId w:val="28"/>
  </w:num>
  <w:num w:numId="19" w16cid:durableId="882249454">
    <w:abstractNumId w:val="1"/>
  </w:num>
  <w:num w:numId="20" w16cid:durableId="1818305749">
    <w:abstractNumId w:val="2"/>
  </w:num>
  <w:num w:numId="21" w16cid:durableId="2140612096">
    <w:abstractNumId w:val="20"/>
  </w:num>
  <w:num w:numId="22" w16cid:durableId="2027055339">
    <w:abstractNumId w:val="9"/>
  </w:num>
  <w:num w:numId="23" w16cid:durableId="2004158783">
    <w:abstractNumId w:val="23"/>
  </w:num>
  <w:num w:numId="24" w16cid:durableId="724835250">
    <w:abstractNumId w:val="15"/>
  </w:num>
  <w:num w:numId="25" w16cid:durableId="1182234698">
    <w:abstractNumId w:val="31"/>
  </w:num>
  <w:num w:numId="26" w16cid:durableId="899557232">
    <w:abstractNumId w:val="6"/>
  </w:num>
  <w:num w:numId="27" w16cid:durableId="1575554260">
    <w:abstractNumId w:val="12"/>
  </w:num>
  <w:num w:numId="28" w16cid:durableId="1633243857">
    <w:abstractNumId w:val="29"/>
  </w:num>
  <w:num w:numId="29" w16cid:durableId="1679233168">
    <w:abstractNumId w:val="14"/>
  </w:num>
  <w:num w:numId="30" w16cid:durableId="2002005143">
    <w:abstractNumId w:val="4"/>
  </w:num>
  <w:num w:numId="31" w16cid:durableId="282272955">
    <w:abstractNumId w:val="24"/>
  </w:num>
  <w:num w:numId="32" w16cid:durableId="190837349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2AC"/>
    <w:rsid w:val="00006837"/>
    <w:rsid w:val="00041A63"/>
    <w:rsid w:val="00073982"/>
    <w:rsid w:val="00075157"/>
    <w:rsid w:val="000A3FBC"/>
    <w:rsid w:val="000A518F"/>
    <w:rsid w:val="000C691D"/>
    <w:rsid w:val="000D0E68"/>
    <w:rsid w:val="000D1CA1"/>
    <w:rsid w:val="000E103D"/>
    <w:rsid w:val="000F1DDE"/>
    <w:rsid w:val="0010159F"/>
    <w:rsid w:val="00105C29"/>
    <w:rsid w:val="001233DD"/>
    <w:rsid w:val="00156480"/>
    <w:rsid w:val="00165F16"/>
    <w:rsid w:val="00171055"/>
    <w:rsid w:val="001844D1"/>
    <w:rsid w:val="001A3B9F"/>
    <w:rsid w:val="001A52B1"/>
    <w:rsid w:val="001D16BF"/>
    <w:rsid w:val="001E0A55"/>
    <w:rsid w:val="002024E1"/>
    <w:rsid w:val="00206D00"/>
    <w:rsid w:val="002330BB"/>
    <w:rsid w:val="002776BF"/>
    <w:rsid w:val="002A3E8C"/>
    <w:rsid w:val="002B4464"/>
    <w:rsid w:val="002F0DB4"/>
    <w:rsid w:val="002F10ED"/>
    <w:rsid w:val="002F136A"/>
    <w:rsid w:val="002F4007"/>
    <w:rsid w:val="00302491"/>
    <w:rsid w:val="00323B01"/>
    <w:rsid w:val="00326FB2"/>
    <w:rsid w:val="00333833"/>
    <w:rsid w:val="003664B2"/>
    <w:rsid w:val="003A0EA2"/>
    <w:rsid w:val="003C7EB7"/>
    <w:rsid w:val="003F792E"/>
    <w:rsid w:val="0041423F"/>
    <w:rsid w:val="00420D3A"/>
    <w:rsid w:val="00433F9B"/>
    <w:rsid w:val="00451723"/>
    <w:rsid w:val="00463DFC"/>
    <w:rsid w:val="00466B41"/>
    <w:rsid w:val="00476519"/>
    <w:rsid w:val="00481630"/>
    <w:rsid w:val="004A08E0"/>
    <w:rsid w:val="004B3CF7"/>
    <w:rsid w:val="004B4601"/>
    <w:rsid w:val="004C0779"/>
    <w:rsid w:val="00501542"/>
    <w:rsid w:val="00506DED"/>
    <w:rsid w:val="0052202B"/>
    <w:rsid w:val="00526515"/>
    <w:rsid w:val="00531F37"/>
    <w:rsid w:val="005410FA"/>
    <w:rsid w:val="00544955"/>
    <w:rsid w:val="00551A1A"/>
    <w:rsid w:val="005521DD"/>
    <w:rsid w:val="005607FD"/>
    <w:rsid w:val="00583AD8"/>
    <w:rsid w:val="005852C6"/>
    <w:rsid w:val="005930E3"/>
    <w:rsid w:val="005C1110"/>
    <w:rsid w:val="005C4011"/>
    <w:rsid w:val="005C71E5"/>
    <w:rsid w:val="005C77D0"/>
    <w:rsid w:val="005E49AE"/>
    <w:rsid w:val="005E4C20"/>
    <w:rsid w:val="005F13C9"/>
    <w:rsid w:val="005F3B76"/>
    <w:rsid w:val="006274F7"/>
    <w:rsid w:val="00637FEB"/>
    <w:rsid w:val="00645A8D"/>
    <w:rsid w:val="006644E5"/>
    <w:rsid w:val="00676EB6"/>
    <w:rsid w:val="00684917"/>
    <w:rsid w:val="0069590D"/>
    <w:rsid w:val="006A042C"/>
    <w:rsid w:val="006C3E01"/>
    <w:rsid w:val="006F1EE4"/>
    <w:rsid w:val="00715CCE"/>
    <w:rsid w:val="007360EC"/>
    <w:rsid w:val="00745ABF"/>
    <w:rsid w:val="007648A3"/>
    <w:rsid w:val="00777748"/>
    <w:rsid w:val="00797768"/>
    <w:rsid w:val="007A0087"/>
    <w:rsid w:val="007A2F5D"/>
    <w:rsid w:val="007A40E5"/>
    <w:rsid w:val="007C6121"/>
    <w:rsid w:val="007C6153"/>
    <w:rsid w:val="007D1183"/>
    <w:rsid w:val="007D3D88"/>
    <w:rsid w:val="007F304F"/>
    <w:rsid w:val="007F3137"/>
    <w:rsid w:val="00817DD2"/>
    <w:rsid w:val="00825FC2"/>
    <w:rsid w:val="00837804"/>
    <w:rsid w:val="00843F5D"/>
    <w:rsid w:val="008617C3"/>
    <w:rsid w:val="00886D99"/>
    <w:rsid w:val="00890E6B"/>
    <w:rsid w:val="008943B2"/>
    <w:rsid w:val="00896E5F"/>
    <w:rsid w:val="008A2433"/>
    <w:rsid w:val="008B07E1"/>
    <w:rsid w:val="008C62AA"/>
    <w:rsid w:val="008F1A2C"/>
    <w:rsid w:val="00905C34"/>
    <w:rsid w:val="00913A59"/>
    <w:rsid w:val="0092315B"/>
    <w:rsid w:val="009307E7"/>
    <w:rsid w:val="00933C51"/>
    <w:rsid w:val="00943068"/>
    <w:rsid w:val="0099504A"/>
    <w:rsid w:val="009976D8"/>
    <w:rsid w:val="009A24D8"/>
    <w:rsid w:val="009D207E"/>
    <w:rsid w:val="009D6370"/>
    <w:rsid w:val="00A042AB"/>
    <w:rsid w:val="00A2137F"/>
    <w:rsid w:val="00A36101"/>
    <w:rsid w:val="00A42444"/>
    <w:rsid w:val="00A51527"/>
    <w:rsid w:val="00A611FB"/>
    <w:rsid w:val="00A67C4B"/>
    <w:rsid w:val="00A713FC"/>
    <w:rsid w:val="00A76CF2"/>
    <w:rsid w:val="00A80B5E"/>
    <w:rsid w:val="00A84A1D"/>
    <w:rsid w:val="00A9025B"/>
    <w:rsid w:val="00AA6BFE"/>
    <w:rsid w:val="00AB20B8"/>
    <w:rsid w:val="00AB50F6"/>
    <w:rsid w:val="00AC3AE8"/>
    <w:rsid w:val="00AF5FC7"/>
    <w:rsid w:val="00B1481E"/>
    <w:rsid w:val="00B15E3C"/>
    <w:rsid w:val="00B3060E"/>
    <w:rsid w:val="00BA4F29"/>
    <w:rsid w:val="00BB5ADE"/>
    <w:rsid w:val="00BC5A81"/>
    <w:rsid w:val="00BF2276"/>
    <w:rsid w:val="00C102B3"/>
    <w:rsid w:val="00C212AC"/>
    <w:rsid w:val="00C21491"/>
    <w:rsid w:val="00C264E5"/>
    <w:rsid w:val="00C4035A"/>
    <w:rsid w:val="00C4478D"/>
    <w:rsid w:val="00C650E9"/>
    <w:rsid w:val="00C6761F"/>
    <w:rsid w:val="00C704F3"/>
    <w:rsid w:val="00C92AEE"/>
    <w:rsid w:val="00C95027"/>
    <w:rsid w:val="00C96CAB"/>
    <w:rsid w:val="00D268C0"/>
    <w:rsid w:val="00D708CA"/>
    <w:rsid w:val="00DC52B8"/>
    <w:rsid w:val="00DD41EE"/>
    <w:rsid w:val="00DF0FF9"/>
    <w:rsid w:val="00DF5F67"/>
    <w:rsid w:val="00E057D9"/>
    <w:rsid w:val="00E415C1"/>
    <w:rsid w:val="00E61379"/>
    <w:rsid w:val="00E73AC8"/>
    <w:rsid w:val="00EA467D"/>
    <w:rsid w:val="00EA4CAE"/>
    <w:rsid w:val="00EC5C72"/>
    <w:rsid w:val="00EC64B2"/>
    <w:rsid w:val="00ED2163"/>
    <w:rsid w:val="00ED7288"/>
    <w:rsid w:val="00F11328"/>
    <w:rsid w:val="00F11DF2"/>
    <w:rsid w:val="00F3016B"/>
    <w:rsid w:val="00F77798"/>
    <w:rsid w:val="00F8262D"/>
    <w:rsid w:val="00FA66DA"/>
    <w:rsid w:val="00FC50C5"/>
    <w:rsid w:val="03CC8C5D"/>
    <w:rsid w:val="1C9838A2"/>
    <w:rsid w:val="21CD31EE"/>
    <w:rsid w:val="40E00F90"/>
    <w:rsid w:val="581BA2BB"/>
    <w:rsid w:val="704C838A"/>
    <w:rsid w:val="7B875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C8F30"/>
  <w15:chartTrackingRefBased/>
  <w15:docId w15:val="{D339B44F-8FC6-4B32-893B-3AB493498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30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12AC"/>
    <w:pPr>
      <w:ind w:left="720"/>
      <w:contextualSpacing/>
    </w:pPr>
  </w:style>
  <w:style w:type="paragraph" w:styleId="Header">
    <w:name w:val="header"/>
    <w:basedOn w:val="Normal"/>
    <w:link w:val="HeaderChar"/>
    <w:uiPriority w:val="99"/>
    <w:unhideWhenUsed/>
    <w:rsid w:val="00F113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1328"/>
  </w:style>
  <w:style w:type="paragraph" w:styleId="Footer">
    <w:name w:val="footer"/>
    <w:basedOn w:val="Normal"/>
    <w:link w:val="FooterChar"/>
    <w:uiPriority w:val="99"/>
    <w:unhideWhenUsed/>
    <w:rsid w:val="00F113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1328"/>
  </w:style>
  <w:style w:type="character" w:styleId="Hyperlink">
    <w:name w:val="Hyperlink"/>
    <w:basedOn w:val="DefaultParagraphFont"/>
    <w:uiPriority w:val="99"/>
    <w:unhideWhenUsed/>
    <w:rsid w:val="000E103D"/>
    <w:rPr>
      <w:color w:val="0563C1" w:themeColor="hyperlink"/>
      <w:u w:val="single"/>
    </w:rPr>
  </w:style>
  <w:style w:type="character" w:styleId="UnresolvedMention">
    <w:name w:val="Unresolved Mention"/>
    <w:basedOn w:val="DefaultParagraphFont"/>
    <w:uiPriority w:val="99"/>
    <w:semiHidden/>
    <w:unhideWhenUsed/>
    <w:rsid w:val="000E103D"/>
    <w:rPr>
      <w:color w:val="605E5C"/>
      <w:shd w:val="clear" w:color="auto" w:fill="E1DFDD"/>
    </w:rPr>
  </w:style>
  <w:style w:type="character" w:styleId="CommentReference">
    <w:name w:val="annotation reference"/>
    <w:basedOn w:val="DefaultParagraphFont"/>
    <w:uiPriority w:val="99"/>
    <w:semiHidden/>
    <w:unhideWhenUsed/>
    <w:rsid w:val="00F8262D"/>
    <w:rPr>
      <w:sz w:val="16"/>
      <w:szCs w:val="16"/>
    </w:rPr>
  </w:style>
  <w:style w:type="paragraph" w:styleId="CommentText">
    <w:name w:val="annotation text"/>
    <w:basedOn w:val="Normal"/>
    <w:link w:val="CommentTextChar"/>
    <w:uiPriority w:val="99"/>
    <w:unhideWhenUsed/>
    <w:rsid w:val="00F8262D"/>
    <w:pPr>
      <w:spacing w:line="240" w:lineRule="auto"/>
    </w:pPr>
    <w:rPr>
      <w:sz w:val="20"/>
      <w:szCs w:val="20"/>
    </w:rPr>
  </w:style>
  <w:style w:type="character" w:customStyle="1" w:styleId="CommentTextChar">
    <w:name w:val="Comment Text Char"/>
    <w:basedOn w:val="DefaultParagraphFont"/>
    <w:link w:val="CommentText"/>
    <w:uiPriority w:val="99"/>
    <w:rsid w:val="00F8262D"/>
    <w:rPr>
      <w:sz w:val="20"/>
      <w:szCs w:val="20"/>
    </w:rPr>
  </w:style>
  <w:style w:type="paragraph" w:styleId="CommentSubject">
    <w:name w:val="annotation subject"/>
    <w:basedOn w:val="CommentText"/>
    <w:next w:val="CommentText"/>
    <w:link w:val="CommentSubjectChar"/>
    <w:uiPriority w:val="99"/>
    <w:semiHidden/>
    <w:unhideWhenUsed/>
    <w:rsid w:val="00F8262D"/>
    <w:rPr>
      <w:b/>
      <w:bCs/>
    </w:rPr>
  </w:style>
  <w:style w:type="character" w:customStyle="1" w:styleId="CommentSubjectChar">
    <w:name w:val="Comment Subject Char"/>
    <w:basedOn w:val="CommentTextChar"/>
    <w:link w:val="CommentSubject"/>
    <w:uiPriority w:val="99"/>
    <w:semiHidden/>
    <w:rsid w:val="00F8262D"/>
    <w:rPr>
      <w:b/>
      <w:bCs/>
      <w:sz w:val="20"/>
      <w:szCs w:val="20"/>
    </w:rPr>
  </w:style>
  <w:style w:type="paragraph" w:styleId="Revision">
    <w:name w:val="Revision"/>
    <w:hidden/>
    <w:uiPriority w:val="99"/>
    <w:semiHidden/>
    <w:rsid w:val="00AF5FC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po.gov/fdsys/pkg/FR-2009-08-20/pdf/E9-19930.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grants.nih.gov/grants/guide/notice-files/NOT-OD-10-019.html" TargetMode="External"/><Relationship Id="rId17" Type="http://schemas.openxmlformats.org/officeDocument/2006/relationships/hyperlink" Target="https://www.fda.gov/aboutfda/reportsmanualsforms/forms/default.htm" TargetMode="External"/><Relationship Id="rId2" Type="http://schemas.openxmlformats.org/officeDocument/2006/relationships/customXml" Target="../customXml/item2.xml"/><Relationship Id="rId16" Type="http://schemas.openxmlformats.org/officeDocument/2006/relationships/hyperlink" Target="https://www.hhs.gov/hipaa/index.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upport.citiprogram.org/customer/en/portal/articles/2578484-nih-new-policy-on-gcptraining" TargetMode="External"/><Relationship Id="rId5" Type="http://schemas.openxmlformats.org/officeDocument/2006/relationships/styles" Target="styles.xml"/><Relationship Id="rId15" Type="http://schemas.openxmlformats.org/officeDocument/2006/relationships/hyperlink" Target="https://www.fda.gov/media/77765/download" TargetMode="External"/><Relationship Id="rId10" Type="http://schemas.openxmlformats.org/officeDocument/2006/relationships/hyperlink" Target="http://www.citiprogram.org"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vpr-uchc.media.uconn.edu/wp-content/uploads/sites/2568/2026/07/Delegation-of-authority-staff-signature-log-SAMPLE.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nfo xmlns="bceb8114-d634-4f4a-bf61-e1f9cc34d4b3"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876A28B6AA08F468939A8645658D065" ma:contentTypeVersion="13" ma:contentTypeDescription="Create a new document." ma:contentTypeScope="" ma:versionID="1ffb3a2a21aa726240d01f71ba58198c">
  <xsd:schema xmlns:xsd="http://www.w3.org/2001/XMLSchema" xmlns:xs="http://www.w3.org/2001/XMLSchema" xmlns:p="http://schemas.microsoft.com/office/2006/metadata/properties" xmlns:ns1="http://schemas.microsoft.com/sharepoint/v3" xmlns:ns2="c8080cdb-28a3-49c3-8593-57833bbbc235" xmlns:ns3="bceb8114-d634-4f4a-bf61-e1f9cc34d4b3" targetNamespace="http://schemas.microsoft.com/office/2006/metadata/properties" ma:root="true" ma:fieldsID="0102b4ead1c7fcec59ac10343bdc7a24" ns1:_="" ns2:_="" ns3:_="">
    <xsd:import namespace="http://schemas.microsoft.com/sharepoint/v3"/>
    <xsd:import namespace="c8080cdb-28a3-49c3-8593-57833bbbc235"/>
    <xsd:import namespace="bceb8114-d634-4f4a-bf61-e1f9cc34d4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1:_ip_UnifiedCompliancePolicyProperties" minOccurs="0"/>
                <xsd:element ref="ns1:_ip_UnifiedCompliancePolicyUIAction" minOccurs="0"/>
                <xsd:element ref="ns3:MediaServiceDateTaken" minOccurs="0"/>
                <xsd:element ref="ns3:MediaServiceGenerationTime" minOccurs="0"/>
                <xsd:element ref="ns3:MediaServiceEventHashCode" minOccurs="0"/>
                <xsd:element ref="ns3:MediaLengthInSeconds" minOccurs="0"/>
                <xsd:element ref="ns3: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080cdb-28a3-49c3-8593-57833bbbc23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eb8114-d634-4f4a-bf61-e1f9cc34d4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Info" ma:index="20" nillable="true" ma:displayName="Info" ma:format="Dropdown" ma:internalName="Info">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274A13-8224-4670-8A69-FF385728ED4B}">
  <ds:schemaRefs>
    <ds:schemaRef ds:uri="http://schemas.microsoft.com/office/2006/metadata/properties"/>
    <ds:schemaRef ds:uri="http://schemas.microsoft.com/office/infopath/2007/PartnerControls"/>
    <ds:schemaRef ds:uri="bceb8114-d634-4f4a-bf61-e1f9cc34d4b3"/>
    <ds:schemaRef ds:uri="http://schemas.microsoft.com/sharepoint/v3"/>
  </ds:schemaRefs>
</ds:datastoreItem>
</file>

<file path=customXml/itemProps2.xml><?xml version="1.0" encoding="utf-8"?>
<ds:datastoreItem xmlns:ds="http://schemas.openxmlformats.org/officeDocument/2006/customXml" ds:itemID="{AA84AE89-5F15-4BEA-8C2E-554D824F6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8080cdb-28a3-49c3-8593-57833bbbc235"/>
    <ds:schemaRef ds:uri="bceb8114-d634-4f4a-bf61-e1f9cc34d4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98C446-4672-42A1-85A7-C875D83516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22</Pages>
  <Words>4316</Words>
  <Characters>25035</Characters>
  <Application>Microsoft Office Word</Application>
  <DocSecurity>0</DocSecurity>
  <Lines>610</Lines>
  <Paragraphs>386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Blair,Julia</dc:creator>
  <cp:keywords/>
  <dc:description/>
  <cp:lastModifiedBy>Blair,Julia</cp:lastModifiedBy>
  <cp:revision>2</cp:revision>
  <dcterms:created xsi:type="dcterms:W3CDTF">2026-07-10T12:39:00Z</dcterms:created>
  <dcterms:modified xsi:type="dcterms:W3CDTF">2026-07-10T12:39:00Z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0x0101005876A28B6AA08F468939A8645658D065</vt:lpwstr>
  </property>
</Properties>
</file>